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A3AB" w14:textId="77777777" w:rsidR="00BC0A5D" w:rsidRDefault="00BC0A5D" w:rsidP="009F6A1A">
      <w:pPr>
        <w:jc w:val="both"/>
        <w:rPr>
          <w:rFonts w:asciiTheme="majorHAnsi" w:hAnsiTheme="majorHAnsi" w:cstheme="majorHAnsi"/>
          <w:b/>
          <w:sz w:val="20"/>
        </w:rPr>
      </w:pPr>
    </w:p>
    <w:p w14:paraId="7EC0C676" w14:textId="77777777" w:rsidR="00BC0A5D" w:rsidRDefault="00BC0A5D" w:rsidP="009F6A1A">
      <w:pPr>
        <w:jc w:val="both"/>
        <w:rPr>
          <w:rFonts w:asciiTheme="majorHAnsi" w:hAnsiTheme="majorHAnsi" w:cstheme="majorHAnsi"/>
          <w:b/>
          <w:sz w:val="20"/>
        </w:rPr>
      </w:pPr>
    </w:p>
    <w:p w14:paraId="23D369E5" w14:textId="7E5C3C16" w:rsidR="00575427" w:rsidRPr="00BC0A5D" w:rsidRDefault="00C854B9" w:rsidP="009F6A1A">
      <w:pPr>
        <w:jc w:val="both"/>
        <w:rPr>
          <w:rFonts w:asciiTheme="majorHAnsi" w:hAnsiTheme="majorHAnsi" w:cstheme="majorHAnsi"/>
          <w:b/>
          <w:sz w:val="20"/>
        </w:rPr>
      </w:pPr>
      <w:r>
        <w:rPr>
          <w:rFonts w:asciiTheme="majorHAnsi" w:hAnsiTheme="majorHAnsi" w:cstheme="majorHAnsi"/>
          <w:b/>
          <w:sz w:val="20"/>
        </w:rPr>
        <w:t>À</w:t>
      </w:r>
      <w:r w:rsidR="005015F7">
        <w:rPr>
          <w:rFonts w:asciiTheme="majorHAnsi" w:hAnsiTheme="majorHAnsi" w:cstheme="majorHAnsi"/>
          <w:b/>
          <w:sz w:val="20"/>
        </w:rPr>
        <w:t xml:space="preserve"> </w:t>
      </w:r>
      <w:r w:rsidR="00575427" w:rsidRPr="00BC0A5D">
        <w:rPr>
          <w:rFonts w:asciiTheme="majorHAnsi" w:hAnsiTheme="majorHAnsi" w:cstheme="majorHAnsi"/>
          <w:b/>
          <w:sz w:val="20"/>
        </w:rPr>
        <w:t xml:space="preserve"> </w:t>
      </w:r>
    </w:p>
    <w:p w14:paraId="541C4577" w14:textId="0A35E695" w:rsidR="00575427" w:rsidRPr="00BC0A5D" w:rsidRDefault="00C854B9" w:rsidP="009F6A1A">
      <w:pPr>
        <w:jc w:val="both"/>
        <w:rPr>
          <w:rFonts w:asciiTheme="majorHAnsi" w:hAnsiTheme="majorHAnsi" w:cstheme="majorHAnsi"/>
          <w:b/>
          <w:sz w:val="20"/>
        </w:rPr>
      </w:pPr>
      <w:r>
        <w:rPr>
          <w:rFonts w:asciiTheme="majorHAnsi" w:hAnsiTheme="majorHAnsi" w:cstheme="majorHAnsi"/>
          <w:b/>
          <w:sz w:val="20"/>
        </w:rPr>
        <w:t>CAIXA ECONÔMICA FEDERAL</w:t>
      </w:r>
    </w:p>
    <w:p w14:paraId="00922972" w14:textId="77777777" w:rsidR="00575427" w:rsidRPr="00BC0A5D" w:rsidRDefault="00575427" w:rsidP="009F6A1A">
      <w:pPr>
        <w:jc w:val="both"/>
        <w:rPr>
          <w:rFonts w:asciiTheme="majorHAnsi" w:hAnsiTheme="majorHAnsi" w:cstheme="majorHAnsi"/>
          <w:sz w:val="20"/>
        </w:rPr>
      </w:pPr>
    </w:p>
    <w:p w14:paraId="58C314B9" w14:textId="77777777" w:rsidR="00575427" w:rsidRPr="00BC0A5D" w:rsidRDefault="00575427" w:rsidP="009F6A1A">
      <w:pPr>
        <w:jc w:val="both"/>
        <w:rPr>
          <w:rFonts w:asciiTheme="majorHAnsi" w:hAnsiTheme="majorHAnsi" w:cstheme="majorHAnsi"/>
          <w:sz w:val="20"/>
        </w:rPr>
      </w:pPr>
    </w:p>
    <w:p w14:paraId="2895CE16" w14:textId="03997452" w:rsidR="008E3F32" w:rsidRPr="008E3F32" w:rsidRDefault="00575427" w:rsidP="008E3F32">
      <w:pPr>
        <w:jc w:val="both"/>
        <w:rPr>
          <w:rFonts w:asciiTheme="majorHAnsi" w:hAnsiTheme="majorHAnsi" w:cstheme="majorHAnsi"/>
          <w:sz w:val="20"/>
        </w:rPr>
      </w:pPr>
      <w:proofErr w:type="spellStart"/>
      <w:r w:rsidRPr="00BC0A5D">
        <w:rPr>
          <w:rFonts w:asciiTheme="majorHAnsi" w:hAnsiTheme="majorHAnsi" w:cstheme="majorHAnsi"/>
          <w:b/>
          <w:sz w:val="20"/>
        </w:rPr>
        <w:t>Att</w:t>
      </w:r>
      <w:proofErr w:type="spellEnd"/>
      <w:r w:rsidRPr="00BC0A5D">
        <w:rPr>
          <w:rFonts w:asciiTheme="majorHAnsi" w:hAnsiTheme="majorHAnsi" w:cstheme="majorHAnsi"/>
          <w:b/>
          <w:sz w:val="20"/>
        </w:rPr>
        <w:t>.</w:t>
      </w:r>
      <w:r w:rsidRPr="00BC0A5D">
        <w:rPr>
          <w:rFonts w:asciiTheme="majorHAnsi" w:hAnsiTheme="majorHAnsi" w:cstheme="majorHAnsi"/>
          <w:sz w:val="20"/>
        </w:rPr>
        <w:t xml:space="preserve">: </w:t>
      </w:r>
      <w:r w:rsidR="008E3F32" w:rsidRPr="008E3F32">
        <w:rPr>
          <w:rFonts w:asciiTheme="majorHAnsi" w:hAnsiTheme="majorHAnsi" w:cstheme="majorHAnsi"/>
          <w:sz w:val="20"/>
        </w:rPr>
        <w:t>Sra. Marcele Sardinha Almeida G. Ferreira</w:t>
      </w:r>
    </w:p>
    <w:p w14:paraId="160FF6AA" w14:textId="7777777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Gerente Regional – SR Centro Leste Fluminense, RJ</w:t>
      </w:r>
    </w:p>
    <w:p w14:paraId="7D7694F9" w14:textId="77777777" w:rsidR="008E3F32" w:rsidRPr="008E3F32" w:rsidRDefault="008E3F32" w:rsidP="008E3F32">
      <w:pPr>
        <w:jc w:val="both"/>
        <w:rPr>
          <w:rFonts w:asciiTheme="majorHAnsi" w:hAnsiTheme="majorHAnsi" w:cstheme="majorHAnsi"/>
          <w:sz w:val="20"/>
        </w:rPr>
      </w:pPr>
    </w:p>
    <w:p w14:paraId="493DFDA8" w14:textId="7777777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Sr. Cláudio Martins Ribeiro de Jesus</w:t>
      </w:r>
    </w:p>
    <w:p w14:paraId="6A38F0C4" w14:textId="7777777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Superintendente Regional - SR Centro Leste Fluminense, RJ</w:t>
      </w:r>
    </w:p>
    <w:p w14:paraId="25798E22" w14:textId="77777777" w:rsidR="008E3F32" w:rsidRPr="008E3F32" w:rsidRDefault="008E3F32" w:rsidP="008E3F32">
      <w:pPr>
        <w:jc w:val="both"/>
        <w:rPr>
          <w:rFonts w:asciiTheme="majorHAnsi" w:hAnsiTheme="majorHAnsi" w:cstheme="majorHAnsi"/>
          <w:sz w:val="20"/>
        </w:rPr>
      </w:pPr>
    </w:p>
    <w:p w14:paraId="434E7CA7" w14:textId="77777777" w:rsidR="008E3F32" w:rsidRPr="008E3F32" w:rsidRDefault="008E3F32" w:rsidP="008E3F32">
      <w:pPr>
        <w:jc w:val="both"/>
        <w:rPr>
          <w:rFonts w:asciiTheme="majorHAnsi" w:hAnsiTheme="majorHAnsi" w:cstheme="majorHAnsi"/>
          <w:sz w:val="20"/>
        </w:rPr>
      </w:pPr>
    </w:p>
    <w:p w14:paraId="4C046A00" w14:textId="61CF35DC"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b/>
          <w:sz w:val="20"/>
        </w:rPr>
        <w:t>Assunto</w:t>
      </w:r>
      <w:r w:rsidRPr="00BC0A5D">
        <w:rPr>
          <w:rFonts w:asciiTheme="majorHAnsi" w:hAnsiTheme="majorHAnsi" w:cstheme="majorHAnsi"/>
          <w:sz w:val="20"/>
        </w:rPr>
        <w:t>: Pedidos de Esclarecimentos</w:t>
      </w:r>
    </w:p>
    <w:p w14:paraId="60637011" w14:textId="2ABB59F2"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b/>
          <w:sz w:val="20"/>
        </w:rPr>
        <w:t>Ref.</w:t>
      </w:r>
      <w:r w:rsidRPr="00BC0A5D">
        <w:rPr>
          <w:rFonts w:asciiTheme="majorHAnsi" w:hAnsiTheme="majorHAnsi" w:cstheme="majorHAnsi"/>
          <w:sz w:val="20"/>
        </w:rPr>
        <w:t>: Edital nº 022/2016 – Processo Administrativo nº 030/028374/2015</w:t>
      </w:r>
    </w:p>
    <w:p w14:paraId="2058E06A" w14:textId="77777777" w:rsidR="00575427" w:rsidRPr="00BC0A5D" w:rsidRDefault="00575427" w:rsidP="009F6A1A">
      <w:pPr>
        <w:jc w:val="both"/>
        <w:rPr>
          <w:rFonts w:asciiTheme="majorHAnsi" w:hAnsiTheme="majorHAnsi" w:cstheme="majorHAnsi"/>
          <w:sz w:val="20"/>
        </w:rPr>
      </w:pPr>
    </w:p>
    <w:p w14:paraId="0CA60965" w14:textId="77777777" w:rsidR="00575427" w:rsidRPr="00BC0A5D" w:rsidRDefault="00575427" w:rsidP="009F6A1A">
      <w:pPr>
        <w:jc w:val="both"/>
        <w:rPr>
          <w:rFonts w:asciiTheme="majorHAnsi" w:hAnsiTheme="majorHAnsi" w:cstheme="majorHAnsi"/>
          <w:sz w:val="20"/>
        </w:rPr>
      </w:pPr>
    </w:p>
    <w:p w14:paraId="024CB72F" w14:textId="0AC12BED"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Prezados Senhores,</w:t>
      </w:r>
    </w:p>
    <w:p w14:paraId="7076705A" w14:textId="77777777" w:rsidR="00575427" w:rsidRPr="00BC0A5D" w:rsidRDefault="00575427" w:rsidP="009F6A1A">
      <w:pPr>
        <w:jc w:val="both"/>
        <w:rPr>
          <w:rFonts w:asciiTheme="majorHAnsi" w:hAnsiTheme="majorHAnsi" w:cstheme="majorHAnsi"/>
          <w:sz w:val="20"/>
        </w:rPr>
      </w:pPr>
    </w:p>
    <w:p w14:paraId="2FBEE70F" w14:textId="79B0B264" w:rsidR="00575427" w:rsidRDefault="00575427" w:rsidP="009F6A1A">
      <w:pPr>
        <w:jc w:val="both"/>
        <w:rPr>
          <w:rFonts w:asciiTheme="majorHAnsi" w:hAnsiTheme="majorHAnsi" w:cstheme="majorHAnsi"/>
          <w:sz w:val="20"/>
        </w:rPr>
      </w:pPr>
      <w:r w:rsidRPr="00BC0A5D">
        <w:rPr>
          <w:rFonts w:asciiTheme="majorHAnsi" w:hAnsiTheme="majorHAnsi" w:cstheme="majorHAnsi"/>
          <w:sz w:val="20"/>
        </w:rPr>
        <w:t>Seguem as respostas aos questionamentos:</w:t>
      </w:r>
    </w:p>
    <w:p w14:paraId="0AB894C7" w14:textId="3B203819" w:rsidR="009F0CDF" w:rsidRDefault="009F0CDF" w:rsidP="009F6A1A">
      <w:pPr>
        <w:jc w:val="both"/>
        <w:rPr>
          <w:rFonts w:asciiTheme="majorHAnsi" w:hAnsiTheme="majorHAnsi" w:cstheme="majorHAnsi"/>
          <w:sz w:val="20"/>
        </w:rPr>
      </w:pPr>
    </w:p>
    <w:p w14:paraId="0C6A7509" w14:textId="6C3B8E78" w:rsidR="00841551" w:rsidRDefault="00841551" w:rsidP="009F0CDF">
      <w:pPr>
        <w:jc w:val="both"/>
        <w:rPr>
          <w:rFonts w:asciiTheme="majorHAnsi" w:hAnsiTheme="majorHAnsi" w:cstheme="majorHAnsi"/>
          <w:sz w:val="20"/>
        </w:rPr>
      </w:pPr>
    </w:p>
    <w:p w14:paraId="646E34EF" w14:textId="577A959E" w:rsidR="008E3F32" w:rsidRDefault="008E3F32" w:rsidP="008E3F32">
      <w:pPr>
        <w:jc w:val="both"/>
        <w:rPr>
          <w:rFonts w:asciiTheme="majorHAnsi" w:hAnsiTheme="majorHAnsi" w:cstheme="majorHAnsi"/>
          <w:sz w:val="20"/>
        </w:rPr>
      </w:pPr>
      <w:r w:rsidRPr="008E3F32">
        <w:rPr>
          <w:rFonts w:asciiTheme="majorHAnsi" w:hAnsiTheme="majorHAnsi" w:cstheme="majorHAnsi"/>
          <w:sz w:val="20"/>
        </w:rPr>
        <w:t>1</w:t>
      </w:r>
      <w:r>
        <w:rPr>
          <w:rFonts w:asciiTheme="majorHAnsi" w:hAnsiTheme="majorHAnsi" w:cstheme="majorHAnsi"/>
          <w:sz w:val="20"/>
        </w:rPr>
        <w:t xml:space="preserve">. </w:t>
      </w:r>
      <w:r w:rsidRPr="008E3F32">
        <w:rPr>
          <w:rFonts w:asciiTheme="majorHAnsi" w:hAnsiTheme="majorHAnsi" w:cstheme="majorHAnsi"/>
          <w:sz w:val="20"/>
        </w:rPr>
        <w:t xml:space="preserve">Informamos que após o recebimento e análise das respostas aos questionamentos encaminhados por meio dos Ofícios 096/2016 e 105/2016 e ainda após análise dos esclarecimentos prestados às demais Instituições Financeiras, restam alguns esclarecimentos para que possamos </w:t>
      </w:r>
      <w:proofErr w:type="gramStart"/>
      <w:r w:rsidRPr="008E3F32">
        <w:rPr>
          <w:rFonts w:asciiTheme="majorHAnsi" w:hAnsiTheme="majorHAnsi" w:cstheme="majorHAnsi"/>
          <w:sz w:val="20"/>
        </w:rPr>
        <w:t>das sequência</w:t>
      </w:r>
      <w:proofErr w:type="gramEnd"/>
      <w:r w:rsidRPr="008E3F32">
        <w:rPr>
          <w:rFonts w:asciiTheme="majorHAnsi" w:hAnsiTheme="majorHAnsi" w:cstheme="majorHAnsi"/>
          <w:sz w:val="20"/>
        </w:rPr>
        <w:t xml:space="preserve"> a nossa análise. </w:t>
      </w:r>
    </w:p>
    <w:p w14:paraId="158B8EE6" w14:textId="77777777" w:rsidR="008E3F32" w:rsidRPr="008E3F32" w:rsidRDefault="008E3F32" w:rsidP="008E3F32">
      <w:pPr>
        <w:jc w:val="both"/>
        <w:rPr>
          <w:rFonts w:asciiTheme="majorHAnsi" w:hAnsiTheme="majorHAnsi" w:cstheme="majorHAnsi"/>
          <w:sz w:val="20"/>
        </w:rPr>
      </w:pPr>
    </w:p>
    <w:p w14:paraId="72F19B19" w14:textId="391DD894"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2</w:t>
      </w:r>
      <w:r>
        <w:rPr>
          <w:rFonts w:asciiTheme="majorHAnsi" w:hAnsiTheme="majorHAnsi" w:cstheme="majorHAnsi"/>
          <w:sz w:val="20"/>
        </w:rPr>
        <w:t xml:space="preserve">. </w:t>
      </w:r>
      <w:r w:rsidRPr="008E3F32">
        <w:rPr>
          <w:rFonts w:asciiTheme="majorHAnsi" w:hAnsiTheme="majorHAnsi" w:cstheme="majorHAnsi"/>
          <w:sz w:val="20"/>
        </w:rPr>
        <w:t>Solicitamos informações sobre o valor de repasse mensal e quantidade de contratos de crédito consignado atualmente existente em cada uma das Instituições financeiras que detém convênio com essa Prefeitura e todos os seus órgãos vinculados participantes do Edital n 22/2016, segregados por órgão e banco.</w:t>
      </w:r>
    </w:p>
    <w:p w14:paraId="39D80BF6" w14:textId="490A81B4" w:rsidR="008E3F32" w:rsidRDefault="008E3F32" w:rsidP="008E3F32">
      <w:pPr>
        <w:jc w:val="both"/>
        <w:rPr>
          <w:rFonts w:asciiTheme="majorHAnsi" w:hAnsiTheme="majorHAnsi" w:cstheme="majorHAnsi"/>
          <w:sz w:val="20"/>
        </w:rPr>
      </w:pPr>
      <w:r w:rsidRPr="008E3F32">
        <w:rPr>
          <w:rFonts w:asciiTheme="majorHAnsi" w:hAnsiTheme="majorHAnsi" w:cstheme="majorHAnsi"/>
          <w:b/>
          <w:sz w:val="20"/>
        </w:rPr>
        <w:t>RESPOSTA</w:t>
      </w:r>
      <w:r w:rsidRPr="008E3F32">
        <w:rPr>
          <w:rFonts w:asciiTheme="majorHAnsi" w:hAnsiTheme="majorHAnsi" w:cstheme="majorHAnsi"/>
          <w:sz w:val="20"/>
        </w:rPr>
        <w:t xml:space="preserve">: O repasse mensal médio é de R$ 3.543.366,00. E </w:t>
      </w:r>
      <w:proofErr w:type="gramStart"/>
      <w:r w:rsidRPr="008E3F32">
        <w:rPr>
          <w:rFonts w:asciiTheme="majorHAnsi" w:hAnsiTheme="majorHAnsi" w:cstheme="majorHAnsi"/>
          <w:sz w:val="20"/>
        </w:rPr>
        <w:t>existem,  aproximadamente</w:t>
      </w:r>
      <w:proofErr w:type="gramEnd"/>
      <w:r w:rsidRPr="008E3F32">
        <w:rPr>
          <w:rFonts w:asciiTheme="majorHAnsi" w:hAnsiTheme="majorHAnsi" w:cstheme="majorHAnsi"/>
          <w:sz w:val="20"/>
        </w:rPr>
        <w:t>, 13.330 contratos de crédito consignado.</w:t>
      </w:r>
    </w:p>
    <w:p w14:paraId="331EAB5C" w14:textId="77777777" w:rsidR="008E3F32" w:rsidRPr="008E3F32" w:rsidRDefault="008E3F32" w:rsidP="008E3F32">
      <w:pPr>
        <w:jc w:val="both"/>
        <w:rPr>
          <w:rFonts w:asciiTheme="majorHAnsi" w:hAnsiTheme="majorHAnsi" w:cstheme="majorHAnsi"/>
          <w:sz w:val="20"/>
        </w:rPr>
      </w:pPr>
    </w:p>
    <w:p w14:paraId="304FBC34" w14:textId="3AA0C183"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3</w:t>
      </w:r>
      <w:r>
        <w:rPr>
          <w:rFonts w:asciiTheme="majorHAnsi" w:hAnsiTheme="majorHAnsi" w:cstheme="majorHAnsi"/>
          <w:sz w:val="20"/>
        </w:rPr>
        <w:t>.</w:t>
      </w:r>
      <w:r w:rsidRPr="008E3F32">
        <w:rPr>
          <w:rFonts w:asciiTheme="majorHAnsi" w:hAnsiTheme="majorHAnsi" w:cstheme="majorHAnsi"/>
          <w:sz w:val="20"/>
        </w:rPr>
        <w:t xml:space="preserve"> Em resposta ao nosso Ofício 096/2016, houve a informação de que a movimentação financeira da Prefeitura será incluída como objeto do Edital, porém tal alteração não foi incluída no Edital adequado publicado no site dessa Prefeitura, motivo pelo qual solicitamos confirmar essa inclusão.</w:t>
      </w:r>
    </w:p>
    <w:p w14:paraId="7DF3D694" w14:textId="442C974E"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b/>
          <w:sz w:val="20"/>
        </w:rPr>
        <w:t>RESPOSTA</w:t>
      </w:r>
      <w:r w:rsidRPr="008E3F32">
        <w:rPr>
          <w:rFonts w:asciiTheme="majorHAnsi" w:hAnsiTheme="majorHAnsi" w:cstheme="majorHAnsi"/>
          <w:sz w:val="20"/>
        </w:rPr>
        <w:t xml:space="preserve">: A entidade financeira vencedora do certame terá exclusividade: </w:t>
      </w:r>
    </w:p>
    <w:p w14:paraId="3F9D42EF" w14:textId="7777777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w:t>
      </w:r>
      <w:proofErr w:type="gramStart"/>
      <w:r w:rsidRPr="008E3F32">
        <w:rPr>
          <w:rFonts w:asciiTheme="majorHAnsi" w:hAnsiTheme="majorHAnsi" w:cstheme="majorHAnsi"/>
          <w:sz w:val="20"/>
        </w:rPr>
        <w:t>na</w:t>
      </w:r>
      <w:proofErr w:type="gramEnd"/>
      <w:r w:rsidRPr="008E3F32">
        <w:rPr>
          <w:rFonts w:asciiTheme="majorHAnsi" w:hAnsiTheme="majorHAnsi" w:cstheme="majorHAnsi"/>
          <w:sz w:val="20"/>
        </w:rPr>
        <w:t xml:space="preserve"> centralização e processamento da receita municipal e da movimentação financeira de todas as contas correntes da ADMINISTRAÇÃO PÚBLICA DIRETA E INDIRETA DO MUNICÍPIO DE NITERÓI, excetuando-se os casos em que haja previsão legal, contratual ou judicial para manutenção dos recursos decorrentes de contratos ou convênios em outras instituições financeiras;</w:t>
      </w:r>
    </w:p>
    <w:p w14:paraId="0F1D905C" w14:textId="7777777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w:t>
      </w:r>
      <w:proofErr w:type="gramStart"/>
      <w:r w:rsidRPr="008E3F32">
        <w:rPr>
          <w:rFonts w:asciiTheme="majorHAnsi" w:hAnsiTheme="majorHAnsi" w:cstheme="majorHAnsi"/>
          <w:sz w:val="20"/>
        </w:rPr>
        <w:t>na</w:t>
      </w:r>
      <w:proofErr w:type="gramEnd"/>
      <w:r w:rsidRPr="008E3F32">
        <w:rPr>
          <w:rFonts w:asciiTheme="majorHAnsi" w:hAnsiTheme="majorHAnsi" w:cstheme="majorHAnsi"/>
          <w:sz w:val="20"/>
        </w:rPr>
        <w:t xml:space="preserve"> centralização e movimentação financeira da ADMINISTRAÇÃO PÚBLICA DIRETA E INDIRETA DO MUNICÍPIO DE NITERÓI, relativa aos recursos provenientes de transferências legais e constitucionais, bem como de convênios a serem assinados com quaisquer órgãos do governo federal e estadual, excetuando-se os casos em que haja previsão legal, contratual ou judicial para manutenção e movimentação dos recursos em outras instituições financeiras;</w:t>
      </w:r>
    </w:p>
    <w:p w14:paraId="7C37E279" w14:textId="33533CE2"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t xml:space="preserve">- </w:t>
      </w:r>
      <w:proofErr w:type="gramStart"/>
      <w:r w:rsidRPr="008E3F32">
        <w:rPr>
          <w:rFonts w:asciiTheme="majorHAnsi" w:hAnsiTheme="majorHAnsi" w:cstheme="majorHAnsi"/>
          <w:sz w:val="20"/>
        </w:rPr>
        <w:t>na</w:t>
      </w:r>
      <w:proofErr w:type="gramEnd"/>
      <w:r w:rsidRPr="008E3F32">
        <w:rPr>
          <w:rFonts w:asciiTheme="majorHAnsi" w:hAnsiTheme="majorHAnsi" w:cstheme="majorHAnsi"/>
          <w:sz w:val="20"/>
        </w:rPr>
        <w:t xml:space="preserve"> centralização e processamento de todas as movimentações financeiras dos Fundos do Poder Executivo Municipal, a qualquer título, exceto os recursos oriundos de convênios e/ou contratos com obrigatoriedade de movimentação em outra instituição financeira, por força de lei ou exigência do órgão repassador</w:t>
      </w:r>
      <w:r>
        <w:rPr>
          <w:rFonts w:asciiTheme="majorHAnsi" w:hAnsiTheme="majorHAnsi" w:cstheme="majorHAnsi"/>
          <w:sz w:val="20"/>
        </w:rPr>
        <w:t>.</w:t>
      </w:r>
    </w:p>
    <w:p w14:paraId="06F83FFC" w14:textId="7A87F227" w:rsidR="008E3F32" w:rsidRPr="008E3F32" w:rsidRDefault="008E3F32" w:rsidP="008E3F32">
      <w:pPr>
        <w:jc w:val="both"/>
        <w:rPr>
          <w:rFonts w:asciiTheme="majorHAnsi" w:hAnsiTheme="majorHAnsi" w:cstheme="majorHAnsi"/>
          <w:sz w:val="20"/>
        </w:rPr>
      </w:pPr>
      <w:r w:rsidRPr="008E3F32">
        <w:rPr>
          <w:rFonts w:asciiTheme="majorHAnsi" w:hAnsiTheme="majorHAnsi" w:cstheme="majorHAnsi"/>
          <w:sz w:val="20"/>
        </w:rPr>
        <w:lastRenderedPageBreak/>
        <w:t>4</w:t>
      </w:r>
      <w:r>
        <w:rPr>
          <w:rFonts w:asciiTheme="majorHAnsi" w:hAnsiTheme="majorHAnsi" w:cstheme="majorHAnsi"/>
          <w:sz w:val="20"/>
        </w:rPr>
        <w:t>.</w:t>
      </w:r>
      <w:r w:rsidRPr="008E3F32">
        <w:rPr>
          <w:rFonts w:asciiTheme="majorHAnsi" w:hAnsiTheme="majorHAnsi" w:cstheme="majorHAnsi"/>
          <w:sz w:val="20"/>
        </w:rPr>
        <w:t xml:space="preserve"> Analisando a resposta dessa Prefeitura aos questionamentos do Banco Bradesco não restou clara a situação da arrecadação de tributos municipais, motivo pela qual solicitamos confirmar nosso entendimento de que somente os recursos financeiros provenientes da arrecadação serão direcionados/centralizados na Instituição vencedora do certame, porém todos os bancos que se habilitarem no Edital de chamamento para contratação de serviços de arrecadação continuarão podendo arrecadar os tributos.</w:t>
      </w:r>
    </w:p>
    <w:p w14:paraId="37F5B529" w14:textId="7CBB5C1E" w:rsidR="008E3F32" w:rsidRDefault="008E3F32" w:rsidP="008E3F32">
      <w:pPr>
        <w:jc w:val="both"/>
        <w:rPr>
          <w:rFonts w:asciiTheme="majorHAnsi" w:hAnsiTheme="majorHAnsi" w:cstheme="majorHAnsi"/>
          <w:sz w:val="20"/>
        </w:rPr>
      </w:pPr>
      <w:r w:rsidRPr="008E3F32">
        <w:rPr>
          <w:rFonts w:asciiTheme="majorHAnsi" w:hAnsiTheme="majorHAnsi" w:cstheme="majorHAnsi"/>
          <w:b/>
          <w:sz w:val="20"/>
        </w:rPr>
        <w:t>RESPOSTA</w:t>
      </w:r>
      <w:r w:rsidRPr="008E3F32">
        <w:rPr>
          <w:rFonts w:asciiTheme="majorHAnsi" w:hAnsiTheme="majorHAnsi" w:cstheme="majorHAnsi"/>
          <w:sz w:val="20"/>
        </w:rPr>
        <w:t>: Sim, confirmamos o entendimento. Todos os bancos que se habilitarem no Edital de chamamento para contratação de serviços de arrecadação continuarão podendo arrecadar os tributos.</w:t>
      </w:r>
    </w:p>
    <w:p w14:paraId="2397693F" w14:textId="02AD6A7C" w:rsidR="008E3F32" w:rsidRDefault="008E3F32" w:rsidP="009F0CDF">
      <w:pPr>
        <w:jc w:val="both"/>
        <w:rPr>
          <w:rFonts w:asciiTheme="majorHAnsi" w:hAnsiTheme="majorHAnsi" w:cstheme="majorHAnsi"/>
          <w:sz w:val="20"/>
        </w:rPr>
      </w:pPr>
    </w:p>
    <w:p w14:paraId="51DACD4B" w14:textId="7A485ED4" w:rsidR="008E3F32" w:rsidRDefault="008E3F32" w:rsidP="009F0CDF">
      <w:pPr>
        <w:jc w:val="both"/>
        <w:rPr>
          <w:rFonts w:asciiTheme="majorHAnsi" w:hAnsiTheme="majorHAnsi" w:cstheme="majorHAnsi"/>
          <w:sz w:val="20"/>
        </w:rPr>
      </w:pPr>
    </w:p>
    <w:p w14:paraId="456AD8A3" w14:textId="6230FC39" w:rsidR="008E3F32" w:rsidRDefault="008E3F32" w:rsidP="009F0CDF">
      <w:pPr>
        <w:jc w:val="both"/>
        <w:rPr>
          <w:rFonts w:asciiTheme="majorHAnsi" w:hAnsiTheme="majorHAnsi" w:cstheme="majorHAnsi"/>
          <w:sz w:val="20"/>
        </w:rPr>
      </w:pPr>
    </w:p>
    <w:p w14:paraId="3A38CBB8" w14:textId="172B0439" w:rsidR="00575427"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Atenciosamente,</w:t>
      </w:r>
    </w:p>
    <w:p w14:paraId="684DCBE2" w14:textId="12CCFCE4" w:rsidR="008E3F32" w:rsidRDefault="008E3F32" w:rsidP="00575427">
      <w:pPr>
        <w:shd w:val="clear" w:color="auto" w:fill="FFFFFF"/>
        <w:rPr>
          <w:rFonts w:asciiTheme="majorHAnsi" w:eastAsiaTheme="minorEastAsia" w:hAnsiTheme="majorHAnsi" w:cstheme="majorHAnsi"/>
          <w:color w:val="222222"/>
          <w:sz w:val="20"/>
          <w:lang w:eastAsia="en-US"/>
        </w:rPr>
      </w:pPr>
    </w:p>
    <w:p w14:paraId="5D0E60B6" w14:textId="77777777" w:rsidR="008E3F32" w:rsidRPr="00BC0A5D" w:rsidRDefault="008E3F32" w:rsidP="00575427">
      <w:pPr>
        <w:shd w:val="clear" w:color="auto" w:fill="FFFFFF"/>
        <w:rPr>
          <w:rFonts w:asciiTheme="majorHAnsi" w:eastAsiaTheme="minorEastAsia" w:hAnsiTheme="majorHAnsi" w:cstheme="majorHAnsi"/>
          <w:color w:val="222222"/>
          <w:sz w:val="20"/>
          <w:lang w:eastAsia="en-US"/>
        </w:rPr>
      </w:pPr>
      <w:bookmarkStart w:id="0" w:name="_GoBack"/>
      <w:bookmarkEnd w:id="0"/>
    </w:p>
    <w:p w14:paraId="304B5676" w14:textId="77777777" w:rsidR="00431E81" w:rsidRPr="00BC0A5D" w:rsidRDefault="00431E81" w:rsidP="00575427">
      <w:pPr>
        <w:shd w:val="clear" w:color="auto" w:fill="FFFFFF"/>
        <w:rPr>
          <w:rFonts w:asciiTheme="majorHAnsi" w:eastAsiaTheme="minorEastAsia" w:hAnsiTheme="majorHAnsi" w:cstheme="majorHAnsi"/>
          <w:color w:val="222222"/>
          <w:sz w:val="20"/>
          <w:lang w:eastAsia="en-US"/>
        </w:rPr>
      </w:pPr>
    </w:p>
    <w:p w14:paraId="2FEC2457"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p>
    <w:p w14:paraId="7EF2D3DE" w14:textId="7794E21D" w:rsidR="00431E81" w:rsidRPr="00BC0A5D" w:rsidRDefault="00431E81" w:rsidP="00431E81">
      <w:pPr>
        <w:shd w:val="clear" w:color="auto" w:fill="FFFFFF"/>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________________________________</w:t>
      </w:r>
    </w:p>
    <w:p w14:paraId="44B6F465" w14:textId="2A97B472"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 xml:space="preserve">Moacir Linhares </w:t>
      </w:r>
      <w:proofErr w:type="spellStart"/>
      <w:r w:rsidRPr="00BC0A5D">
        <w:rPr>
          <w:rFonts w:asciiTheme="majorHAnsi" w:eastAsiaTheme="minorEastAsia" w:hAnsiTheme="majorHAnsi" w:cstheme="majorHAnsi"/>
          <w:b/>
          <w:color w:val="222222"/>
          <w:sz w:val="20"/>
          <w:lang w:eastAsia="en-US"/>
        </w:rPr>
        <w:t>Soutinho</w:t>
      </w:r>
      <w:proofErr w:type="spellEnd"/>
      <w:r w:rsidRPr="00BC0A5D">
        <w:rPr>
          <w:rFonts w:asciiTheme="majorHAnsi" w:eastAsiaTheme="minorEastAsia" w:hAnsiTheme="majorHAnsi" w:cstheme="majorHAnsi"/>
          <w:b/>
          <w:color w:val="222222"/>
          <w:sz w:val="20"/>
          <w:lang w:eastAsia="en-US"/>
        </w:rPr>
        <w:t xml:space="preserve"> da Cruz</w:t>
      </w:r>
    </w:p>
    <w:p w14:paraId="39CA8D33" w14:textId="054D0A68"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Secretário Municipal de Administração</w:t>
      </w:r>
    </w:p>
    <w:p w14:paraId="25B3646E"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6E208708"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70E92B26"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3C294AB7" w14:textId="1724165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________________________________</w:t>
      </w:r>
    </w:p>
    <w:p w14:paraId="1E1F82FE" w14:textId="78820D76" w:rsidR="00575427"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 xml:space="preserve">César Augusto </w:t>
      </w:r>
      <w:proofErr w:type="spellStart"/>
      <w:r w:rsidRPr="00BC0A5D">
        <w:rPr>
          <w:rFonts w:asciiTheme="majorHAnsi" w:eastAsiaTheme="minorEastAsia" w:hAnsiTheme="majorHAnsi" w:cstheme="majorHAnsi"/>
          <w:b/>
          <w:color w:val="222222"/>
          <w:sz w:val="20"/>
          <w:lang w:eastAsia="en-US"/>
        </w:rPr>
        <w:t>Barbieiro</w:t>
      </w:r>
      <w:proofErr w:type="spellEnd"/>
    </w:p>
    <w:p w14:paraId="3D884F16" w14:textId="0A1486BD"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Secretário Municipal de Fazenda</w:t>
      </w:r>
    </w:p>
    <w:p w14:paraId="74CA25AE"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5081C452"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1D555874"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6E2F2BBC"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22ADC415" w14:textId="33B1D1A5"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________________________________</w:t>
      </w:r>
    </w:p>
    <w:p w14:paraId="7F482BF9" w14:textId="1A6C98F2"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roofErr w:type="spellStart"/>
      <w:r w:rsidRPr="00BC0A5D">
        <w:rPr>
          <w:rFonts w:asciiTheme="majorHAnsi" w:eastAsiaTheme="minorEastAsia" w:hAnsiTheme="majorHAnsi" w:cstheme="majorHAnsi"/>
          <w:b/>
          <w:color w:val="222222"/>
          <w:sz w:val="20"/>
          <w:lang w:eastAsia="en-US"/>
        </w:rPr>
        <w:t>Concyr</w:t>
      </w:r>
      <w:proofErr w:type="spellEnd"/>
      <w:r w:rsidRPr="00BC0A5D">
        <w:rPr>
          <w:rFonts w:asciiTheme="majorHAnsi" w:eastAsiaTheme="minorEastAsia" w:hAnsiTheme="majorHAnsi" w:cstheme="majorHAnsi"/>
          <w:b/>
          <w:color w:val="222222"/>
          <w:sz w:val="20"/>
          <w:lang w:eastAsia="en-US"/>
        </w:rPr>
        <w:t xml:space="preserve"> Formiga Bernardes</w:t>
      </w:r>
    </w:p>
    <w:p w14:paraId="55FB07F1" w14:textId="16B1427B"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Pregoeira</w:t>
      </w:r>
    </w:p>
    <w:p w14:paraId="53344112" w14:textId="27C6C66C"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Comissão de Pregão / SMA</w:t>
      </w:r>
    </w:p>
    <w:p w14:paraId="39F11A26" w14:textId="77777777" w:rsidR="00575427" w:rsidRPr="00BC0A5D" w:rsidRDefault="00575427" w:rsidP="00575427">
      <w:pPr>
        <w:rPr>
          <w:rFonts w:asciiTheme="majorHAnsi" w:eastAsiaTheme="minorEastAsia" w:hAnsiTheme="majorHAnsi" w:cstheme="majorHAnsi"/>
          <w:sz w:val="20"/>
          <w:lang w:eastAsia="en-US"/>
        </w:rPr>
      </w:pPr>
    </w:p>
    <w:p w14:paraId="34697869" w14:textId="77777777" w:rsidR="00575427" w:rsidRPr="00BC0A5D" w:rsidRDefault="00575427" w:rsidP="009F6A1A">
      <w:pPr>
        <w:jc w:val="both"/>
        <w:rPr>
          <w:rFonts w:asciiTheme="majorHAnsi" w:hAnsiTheme="majorHAnsi" w:cstheme="majorHAnsi"/>
          <w:sz w:val="20"/>
        </w:rPr>
      </w:pPr>
    </w:p>
    <w:sectPr w:rsidR="00575427" w:rsidRPr="00BC0A5D" w:rsidSect="00412358">
      <w:headerReference w:type="default" r:id="rId8"/>
      <w:footerReference w:type="even" r:id="rId9"/>
      <w:footerReference w:type="default" r:id="rId10"/>
      <w:headerReference w:type="first" r:id="rId11"/>
      <w:pgSz w:w="11907" w:h="16840" w:code="9"/>
      <w:pgMar w:top="1366" w:right="567" w:bottom="992" w:left="170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9BAED" w14:textId="77777777" w:rsidR="0052108D" w:rsidRDefault="0052108D">
      <w:r>
        <w:separator/>
      </w:r>
    </w:p>
  </w:endnote>
  <w:endnote w:type="continuationSeparator" w:id="0">
    <w:p w14:paraId="56FC3F8D" w14:textId="77777777" w:rsidR="0052108D" w:rsidRDefault="0052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3DF2" w14:textId="77777777" w:rsidR="0052108D" w:rsidRDefault="0052108D" w:rsidP="00A469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E2A0E" w14:textId="77777777" w:rsidR="0052108D" w:rsidRDefault="0052108D" w:rsidP="00A469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2B4A" w14:textId="31830DEB" w:rsidR="0052108D" w:rsidRDefault="0052108D" w:rsidP="00A469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3F32">
      <w:rPr>
        <w:rStyle w:val="Nmerodepgina"/>
        <w:noProof/>
      </w:rPr>
      <w:t>2</w:t>
    </w:r>
    <w:r>
      <w:rPr>
        <w:rStyle w:val="Nmerodepgina"/>
      </w:rPr>
      <w:fldChar w:fldCharType="end"/>
    </w:r>
  </w:p>
  <w:p w14:paraId="772267B5" w14:textId="77777777" w:rsidR="0052108D" w:rsidRPr="0092286D" w:rsidRDefault="0052108D" w:rsidP="00A46960">
    <w:pPr>
      <w:pStyle w:val="Rodap"/>
      <w:ind w:right="360"/>
      <w:rPr>
        <w:rFonts w:ascii="Arial" w:hAnsi="Arial" w:cs="Arial"/>
        <w: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FA2B" w14:textId="77777777" w:rsidR="0052108D" w:rsidRDefault="0052108D">
      <w:r>
        <w:separator/>
      </w:r>
    </w:p>
  </w:footnote>
  <w:footnote w:type="continuationSeparator" w:id="0">
    <w:p w14:paraId="5A6AE342" w14:textId="77777777" w:rsidR="0052108D" w:rsidRDefault="0052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F354" w14:textId="457C3DB8" w:rsidR="0052108D" w:rsidRDefault="0052108D" w:rsidP="00A46960">
    <w:pPr>
      <w:pStyle w:val="Cabealho"/>
      <w:ind w:right="44"/>
      <w:jc w:val="center"/>
      <w:rPr>
        <w:rFonts w:ascii="Bookman Old Style" w:hAnsi="Bookman Old Style" w:cs="Arial"/>
        <w:color w:val="0070C0"/>
        <w:sz w:val="28"/>
      </w:rPr>
    </w:pPr>
  </w:p>
  <w:tbl>
    <w:tblPr>
      <w:tblW w:w="0" w:type="auto"/>
      <w:tblInd w:w="28"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BC0A5D" w:rsidRPr="00575427" w14:paraId="2B946766" w14:textId="77777777" w:rsidTr="00B3108C">
      <w:trPr>
        <w:cantSplit/>
        <w:trHeight w:val="900"/>
      </w:trPr>
      <w:tc>
        <w:tcPr>
          <w:tcW w:w="3412" w:type="dxa"/>
          <w:tcBorders>
            <w:top w:val="single" w:sz="1" w:space="0" w:color="000000"/>
            <w:left w:val="single" w:sz="1" w:space="0" w:color="000000"/>
            <w:bottom w:val="single" w:sz="1" w:space="0" w:color="000000"/>
          </w:tcBorders>
          <w:shd w:val="clear" w:color="auto" w:fill="auto"/>
        </w:tcPr>
        <w:p w14:paraId="40104360" w14:textId="77777777" w:rsidR="00BC0A5D" w:rsidRPr="00575427" w:rsidRDefault="00BC0A5D" w:rsidP="00B3108C">
          <w:pPr>
            <w:suppressAutoHyphens/>
            <w:snapToGrid w:val="0"/>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Processo:</w:t>
          </w:r>
        </w:p>
        <w:p w14:paraId="4AF58926" w14:textId="77777777" w:rsidR="00BC0A5D" w:rsidRPr="00575427" w:rsidRDefault="00BC0A5D" w:rsidP="00B3108C">
          <w:pPr>
            <w:suppressAutoHyphens/>
            <w:spacing w:line="200" w:lineRule="atLeast"/>
            <w:ind w:firstLine="17"/>
            <w:jc w:val="center"/>
            <w:rPr>
              <w:rFonts w:asciiTheme="majorHAnsi" w:eastAsia="Calibri" w:hAnsiTheme="majorHAnsi" w:cstheme="majorHAnsi"/>
              <w:b/>
              <w:color w:val="000000"/>
              <w:sz w:val="20"/>
              <w:lang w:eastAsia="zh-CN"/>
            </w:rPr>
          </w:pPr>
        </w:p>
        <w:p w14:paraId="489B5763" w14:textId="77777777" w:rsidR="00BC0A5D" w:rsidRPr="00575427" w:rsidRDefault="00BC0A5D" w:rsidP="00B3108C">
          <w:pPr>
            <w:suppressAutoHyphens/>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0A744FFA" w14:textId="77777777" w:rsidR="00BC0A5D" w:rsidRPr="00575427" w:rsidRDefault="00BC0A5D" w:rsidP="00B3108C">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Data:</w:t>
          </w:r>
        </w:p>
        <w:p w14:paraId="2B2CE996" w14:textId="77777777" w:rsidR="00BC0A5D" w:rsidRPr="00575427" w:rsidRDefault="00BC0A5D" w:rsidP="00B3108C">
          <w:pPr>
            <w:suppressAutoHyphens/>
            <w:spacing w:line="200" w:lineRule="atLeast"/>
            <w:jc w:val="center"/>
            <w:rPr>
              <w:rFonts w:asciiTheme="majorHAnsi" w:eastAsia="Calibri" w:hAnsiTheme="majorHAnsi" w:cstheme="majorHAnsi"/>
              <w:b/>
              <w:color w:val="000000"/>
              <w:sz w:val="20"/>
              <w:lang w:eastAsia="zh-CN"/>
            </w:rPr>
          </w:pPr>
        </w:p>
        <w:p w14:paraId="7509E912" w14:textId="77777777" w:rsidR="00BC0A5D" w:rsidRPr="00575427" w:rsidRDefault="00BC0A5D" w:rsidP="00B3108C">
          <w:pPr>
            <w:suppressAutoHyphens/>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183F3F9E" w14:textId="77777777" w:rsidR="00BC0A5D" w:rsidRPr="00575427" w:rsidRDefault="00BC0A5D" w:rsidP="00B3108C">
          <w:pPr>
            <w:suppressAutoHyphens/>
            <w:snapToGrid w:val="0"/>
            <w:spacing w:line="200" w:lineRule="atLeast"/>
            <w:jc w:val="center"/>
            <w:rPr>
              <w:rFonts w:asciiTheme="majorHAnsi" w:eastAsia="Calibri" w:hAnsiTheme="majorHAnsi" w:cstheme="majorHAnsi"/>
              <w:color w:val="000000"/>
              <w:sz w:val="20"/>
              <w:lang w:eastAsia="zh-CN"/>
            </w:rPr>
          </w:pPr>
          <w:r w:rsidRPr="00575427">
            <w:rPr>
              <w:rFonts w:asciiTheme="majorHAnsi" w:eastAsia="Calibri" w:hAnsiTheme="majorHAnsi" w:cstheme="majorHAnsi"/>
              <w:b/>
              <w:color w:val="000000"/>
              <w:sz w:val="20"/>
              <w:lang w:eastAsia="zh-CN"/>
            </w:rPr>
            <w:t>Rubrica</w:t>
          </w:r>
        </w:p>
        <w:p w14:paraId="4D784F6A" w14:textId="77777777" w:rsidR="00BC0A5D" w:rsidRPr="00575427" w:rsidRDefault="00BC0A5D" w:rsidP="00B3108C">
          <w:pPr>
            <w:suppressAutoHyphens/>
            <w:spacing w:line="200" w:lineRule="atLeast"/>
            <w:jc w:val="center"/>
            <w:rPr>
              <w:rFonts w:asciiTheme="majorHAnsi" w:eastAsia="Calibri" w:hAnsiTheme="majorHAnsi" w:cstheme="majorHAnsi"/>
              <w:color w:val="000000"/>
              <w:sz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1B8B6622" w14:textId="77777777" w:rsidR="00BC0A5D" w:rsidRPr="00575427" w:rsidRDefault="00BC0A5D" w:rsidP="00B3108C">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Folhas</w:t>
          </w:r>
        </w:p>
        <w:p w14:paraId="4DD9EAE9" w14:textId="77777777" w:rsidR="00BC0A5D" w:rsidRPr="00575427" w:rsidRDefault="00BC0A5D" w:rsidP="00B3108C">
          <w:pPr>
            <w:suppressAutoHyphens/>
            <w:spacing w:line="200" w:lineRule="atLeast"/>
            <w:jc w:val="center"/>
            <w:rPr>
              <w:rFonts w:asciiTheme="majorHAnsi" w:eastAsia="Verdana" w:hAnsiTheme="majorHAnsi" w:cstheme="majorHAnsi"/>
              <w:szCs w:val="24"/>
              <w:lang w:eastAsia="zh-CN"/>
            </w:rPr>
          </w:pPr>
        </w:p>
        <w:p w14:paraId="3C15CE34" w14:textId="77777777" w:rsidR="00BC0A5D" w:rsidRPr="00575427" w:rsidRDefault="00BC0A5D" w:rsidP="00B3108C">
          <w:pPr>
            <w:suppressAutoHyphens/>
            <w:spacing w:line="200" w:lineRule="atLeast"/>
            <w:jc w:val="center"/>
            <w:rPr>
              <w:rFonts w:asciiTheme="majorHAnsi" w:eastAsia="Verdana" w:hAnsiTheme="majorHAnsi" w:cstheme="majorHAnsi"/>
              <w:szCs w:val="24"/>
              <w:lang w:eastAsia="zh-CN"/>
            </w:rPr>
          </w:pPr>
        </w:p>
      </w:tc>
    </w:tr>
  </w:tbl>
  <w:p w14:paraId="799D8FCA" w14:textId="73CC27AF" w:rsidR="0052108D" w:rsidRDefault="00BC0A5D" w:rsidP="00A46960">
    <w:pPr>
      <w:pStyle w:val="Cabealho"/>
      <w:ind w:right="44"/>
      <w:jc w:val="center"/>
      <w:rPr>
        <w:rFonts w:ascii="Bookman Old Style" w:hAnsi="Bookman Old Style" w:cs="Arial"/>
        <w:color w:val="0070C0"/>
        <w:sz w:val="28"/>
        <w:lang w:val="pt-BR"/>
      </w:rPr>
    </w:pPr>
    <w:r w:rsidRPr="009B36D3">
      <w:rPr>
        <w:rFonts w:asciiTheme="majorHAnsi" w:eastAsia="Calibri" w:hAnsiTheme="majorHAnsi" w:cstheme="majorHAnsi"/>
        <w:b/>
        <w:noProof/>
        <w:sz w:val="16"/>
        <w:szCs w:val="16"/>
        <w:lang w:val="pt-BR" w:eastAsia="pt-BR"/>
      </w:rPr>
      <w:drawing>
        <wp:inline distT="0" distB="0" distL="0" distR="0" wp14:anchorId="7A1B5257" wp14:editId="0532D7DC">
          <wp:extent cx="3076575" cy="1009650"/>
          <wp:effectExtent l="0" t="0" r="9525" b="0"/>
          <wp:docPr id="2" name="Imagem 2"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p>
  <w:p w14:paraId="0A8FB6F7" w14:textId="59D98BF9" w:rsidR="00BC0A5D" w:rsidRPr="00BC0A5D" w:rsidRDefault="00BC0A5D" w:rsidP="00BC0A5D">
    <w:pPr>
      <w:pStyle w:val="Cabealho"/>
      <w:ind w:right="44"/>
      <w:jc w:val="center"/>
      <w:rPr>
        <w:rFonts w:asciiTheme="majorHAnsi" w:hAnsiTheme="majorHAnsi" w:cstheme="majorHAnsi"/>
        <w:sz w:val="16"/>
        <w:szCs w:val="16"/>
        <w:lang w:val="pt-BR"/>
      </w:rPr>
    </w:pPr>
    <w:r w:rsidRPr="00BC0A5D">
      <w:rPr>
        <w:rFonts w:asciiTheme="majorHAnsi" w:hAnsiTheme="majorHAnsi" w:cstheme="majorHAnsi"/>
        <w:sz w:val="16"/>
        <w:szCs w:val="16"/>
        <w:lang w:val="pt-BR"/>
      </w:rPr>
      <w:t>SECRETARIA MUNICIPAL DE ADMINISTRAÇÃO</w:t>
    </w:r>
  </w:p>
  <w:p w14:paraId="65B24C33" w14:textId="77777777" w:rsidR="0052108D" w:rsidRDefault="0052108D" w:rsidP="00A46960">
    <w:pPr>
      <w:pStyle w:val="Cabealho"/>
      <w:ind w:right="4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F472" w14:textId="6984EE29" w:rsidR="00422234" w:rsidRDefault="00422234" w:rsidP="00A46960">
    <w:pPr>
      <w:pStyle w:val="Cabealho"/>
      <w:jc w:val="center"/>
      <w:rPr>
        <w:rFonts w:asciiTheme="majorHAnsi" w:eastAsia="Calibri" w:hAnsiTheme="majorHAnsi" w:cstheme="majorHAnsi"/>
        <w:b/>
        <w:noProof/>
        <w:sz w:val="16"/>
        <w:szCs w:val="16"/>
        <w:lang w:val="pt-BR" w:eastAsia="pt-BR"/>
      </w:rPr>
    </w:pPr>
  </w:p>
  <w:p w14:paraId="2BB1969A" w14:textId="2AD210AE" w:rsidR="00422234" w:rsidRDefault="005015F7" w:rsidP="00A46960">
    <w:pPr>
      <w:pStyle w:val="Cabealho"/>
      <w:jc w:val="center"/>
      <w:rPr>
        <w:rFonts w:asciiTheme="majorHAnsi" w:eastAsia="Calibri" w:hAnsiTheme="majorHAnsi" w:cstheme="majorHAnsi"/>
        <w:b/>
        <w:noProof/>
        <w:sz w:val="16"/>
        <w:szCs w:val="16"/>
        <w:lang w:val="pt-BR" w:eastAsia="pt-BR"/>
      </w:rPr>
    </w:pPr>
    <w:r>
      <w:rPr>
        <w:noProof/>
        <w:lang w:val="pt-BR" w:eastAsia="pt-BR"/>
      </w:rPr>
      <w:drawing>
        <wp:inline distT="0" distB="0" distL="0" distR="0" wp14:anchorId="57D6AC44" wp14:editId="5459FAFF">
          <wp:extent cx="6120765" cy="840969"/>
          <wp:effectExtent l="0" t="0" r="0" b="0"/>
          <wp:docPr id="3" name="Imagem 3" descr="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eroi\Desktop\Comunicação Interna\PAPELARIA PREFEITURA - LOGOMARCAS\05 ADMINISTRAÇÃO\ADMINISTRAÇÃO-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40969"/>
                  </a:xfrm>
                  <a:prstGeom prst="rect">
                    <a:avLst/>
                  </a:prstGeom>
                  <a:noFill/>
                  <a:ln>
                    <a:noFill/>
                  </a:ln>
                </pic:spPr>
              </pic:pic>
            </a:graphicData>
          </a:graphic>
        </wp:inline>
      </w:drawing>
    </w:r>
  </w:p>
  <w:p w14:paraId="323B49AD" w14:textId="15BF2772" w:rsidR="00422234" w:rsidRDefault="00422234" w:rsidP="00A46960">
    <w:pPr>
      <w:pStyle w:val="Cabealho"/>
      <w:jc w:val="center"/>
      <w:rPr>
        <w:rFonts w:asciiTheme="majorHAnsi" w:eastAsia="Calibri" w:hAnsiTheme="majorHAnsi" w:cstheme="majorHAnsi"/>
        <w:b/>
        <w:noProof/>
        <w:sz w:val="16"/>
        <w:szCs w:val="16"/>
        <w:lang w:val="pt-BR" w:eastAsia="pt-BR"/>
      </w:rPr>
    </w:pPr>
  </w:p>
  <w:tbl>
    <w:tblPr>
      <w:tblW w:w="0" w:type="auto"/>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5015F7" w:rsidRPr="00575427" w14:paraId="55E91DF3" w14:textId="77777777" w:rsidTr="003A1B30">
      <w:trPr>
        <w:cantSplit/>
        <w:trHeight w:val="900"/>
      </w:trPr>
      <w:tc>
        <w:tcPr>
          <w:tcW w:w="3412" w:type="dxa"/>
          <w:tcBorders>
            <w:top w:val="single" w:sz="1" w:space="0" w:color="000000"/>
            <w:left w:val="single" w:sz="1" w:space="0" w:color="000000"/>
            <w:bottom w:val="single" w:sz="1" w:space="0" w:color="000000"/>
          </w:tcBorders>
          <w:shd w:val="clear" w:color="auto" w:fill="auto"/>
        </w:tcPr>
        <w:p w14:paraId="7F79E560" w14:textId="77777777" w:rsidR="005015F7" w:rsidRPr="00575427" w:rsidRDefault="005015F7" w:rsidP="005015F7">
          <w:pPr>
            <w:suppressAutoHyphens/>
            <w:snapToGrid w:val="0"/>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Processo:</w:t>
          </w:r>
        </w:p>
        <w:p w14:paraId="02619D39" w14:textId="77777777" w:rsidR="005015F7" w:rsidRPr="00575427" w:rsidRDefault="005015F7" w:rsidP="005015F7">
          <w:pPr>
            <w:suppressAutoHyphens/>
            <w:spacing w:line="200" w:lineRule="atLeast"/>
            <w:ind w:firstLine="17"/>
            <w:jc w:val="center"/>
            <w:rPr>
              <w:rFonts w:asciiTheme="majorHAnsi" w:eastAsia="Calibri" w:hAnsiTheme="majorHAnsi" w:cstheme="majorHAnsi"/>
              <w:b/>
              <w:color w:val="000000"/>
              <w:sz w:val="20"/>
              <w:lang w:eastAsia="zh-CN"/>
            </w:rPr>
          </w:pPr>
        </w:p>
        <w:p w14:paraId="75D9453B" w14:textId="77777777" w:rsidR="005015F7" w:rsidRPr="00575427" w:rsidRDefault="005015F7" w:rsidP="005015F7">
          <w:pPr>
            <w:suppressAutoHyphens/>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2B41EB1D" w14:textId="77777777" w:rsidR="005015F7" w:rsidRPr="00575427" w:rsidRDefault="005015F7" w:rsidP="005015F7">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Data:</w:t>
          </w:r>
        </w:p>
        <w:p w14:paraId="1AE579B3" w14:textId="77777777" w:rsidR="005015F7" w:rsidRPr="00575427" w:rsidRDefault="005015F7" w:rsidP="005015F7">
          <w:pPr>
            <w:suppressAutoHyphens/>
            <w:spacing w:line="200" w:lineRule="atLeast"/>
            <w:jc w:val="center"/>
            <w:rPr>
              <w:rFonts w:asciiTheme="majorHAnsi" w:eastAsia="Calibri" w:hAnsiTheme="majorHAnsi" w:cstheme="majorHAnsi"/>
              <w:b/>
              <w:color w:val="000000"/>
              <w:sz w:val="20"/>
              <w:lang w:eastAsia="zh-CN"/>
            </w:rPr>
          </w:pPr>
        </w:p>
        <w:p w14:paraId="707A8A69" w14:textId="77777777" w:rsidR="005015F7" w:rsidRPr="00575427" w:rsidRDefault="005015F7" w:rsidP="005015F7">
          <w:pPr>
            <w:suppressAutoHyphens/>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281CDBCD" w14:textId="77777777" w:rsidR="005015F7" w:rsidRPr="00575427" w:rsidRDefault="005015F7" w:rsidP="005015F7">
          <w:pPr>
            <w:suppressAutoHyphens/>
            <w:snapToGrid w:val="0"/>
            <w:spacing w:line="200" w:lineRule="atLeast"/>
            <w:jc w:val="center"/>
            <w:rPr>
              <w:rFonts w:asciiTheme="majorHAnsi" w:eastAsia="Calibri" w:hAnsiTheme="majorHAnsi" w:cstheme="majorHAnsi"/>
              <w:color w:val="000000"/>
              <w:sz w:val="20"/>
              <w:lang w:eastAsia="zh-CN"/>
            </w:rPr>
          </w:pPr>
          <w:r w:rsidRPr="00575427">
            <w:rPr>
              <w:rFonts w:asciiTheme="majorHAnsi" w:eastAsia="Calibri" w:hAnsiTheme="majorHAnsi" w:cstheme="majorHAnsi"/>
              <w:b/>
              <w:color w:val="000000"/>
              <w:sz w:val="20"/>
              <w:lang w:eastAsia="zh-CN"/>
            </w:rPr>
            <w:t>Rubrica</w:t>
          </w:r>
        </w:p>
        <w:p w14:paraId="76291279" w14:textId="77777777" w:rsidR="005015F7" w:rsidRPr="00575427" w:rsidRDefault="005015F7" w:rsidP="005015F7">
          <w:pPr>
            <w:suppressAutoHyphens/>
            <w:spacing w:line="200" w:lineRule="atLeast"/>
            <w:jc w:val="center"/>
            <w:rPr>
              <w:rFonts w:asciiTheme="majorHAnsi" w:eastAsia="Calibri" w:hAnsiTheme="majorHAnsi" w:cstheme="majorHAnsi"/>
              <w:color w:val="000000"/>
              <w:sz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20B6A558" w14:textId="77777777" w:rsidR="005015F7" w:rsidRPr="00575427" w:rsidRDefault="005015F7" w:rsidP="005015F7">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Folhas</w:t>
          </w:r>
        </w:p>
        <w:p w14:paraId="19F1DE56" w14:textId="77777777" w:rsidR="005015F7" w:rsidRPr="00575427" w:rsidRDefault="005015F7" w:rsidP="005015F7">
          <w:pPr>
            <w:suppressAutoHyphens/>
            <w:spacing w:line="200" w:lineRule="atLeast"/>
            <w:jc w:val="center"/>
            <w:rPr>
              <w:rFonts w:asciiTheme="majorHAnsi" w:eastAsia="Verdana" w:hAnsiTheme="majorHAnsi" w:cstheme="majorHAnsi"/>
              <w:szCs w:val="24"/>
              <w:lang w:eastAsia="zh-CN"/>
            </w:rPr>
          </w:pPr>
        </w:p>
        <w:p w14:paraId="6EEB5A03" w14:textId="77777777" w:rsidR="005015F7" w:rsidRPr="00575427" w:rsidRDefault="005015F7" w:rsidP="005015F7">
          <w:pPr>
            <w:suppressAutoHyphens/>
            <w:spacing w:line="200" w:lineRule="atLeast"/>
            <w:jc w:val="center"/>
            <w:rPr>
              <w:rFonts w:asciiTheme="majorHAnsi" w:eastAsia="Verdana" w:hAnsiTheme="majorHAnsi" w:cstheme="majorHAnsi"/>
              <w:szCs w:val="24"/>
              <w:lang w:eastAsia="zh-CN"/>
            </w:rPr>
          </w:pPr>
        </w:p>
      </w:tc>
    </w:tr>
  </w:tbl>
  <w:p w14:paraId="61590B1E" w14:textId="460A0BBB" w:rsidR="00422234" w:rsidRDefault="00422234" w:rsidP="00A46960">
    <w:pPr>
      <w:pStyle w:val="Cabealho"/>
      <w:jc w:val="center"/>
      <w:rPr>
        <w:rFonts w:asciiTheme="majorHAnsi" w:eastAsia="Calibri" w:hAnsiTheme="majorHAnsi" w:cstheme="majorHAnsi"/>
        <w:b/>
        <w:noProof/>
        <w:sz w:val="16"/>
        <w:szCs w:val="16"/>
        <w:lang w:val="pt-BR" w:eastAsia="pt-BR"/>
      </w:rPr>
    </w:pPr>
  </w:p>
  <w:p w14:paraId="0A70F21C" w14:textId="77777777" w:rsidR="00422234" w:rsidRDefault="00422234" w:rsidP="00A46960">
    <w:pPr>
      <w:pStyle w:val="Cabealho"/>
      <w:jc w:val="center"/>
      <w:rPr>
        <w:rFonts w:asciiTheme="majorHAnsi" w:eastAsia="Calibri" w:hAnsiTheme="majorHAnsi" w:cstheme="majorHAnsi"/>
        <w:b/>
        <w:noProof/>
        <w:sz w:val="16"/>
        <w:szCs w:val="16"/>
        <w:lang w:val="pt-BR" w:eastAsia="pt-BR"/>
      </w:rPr>
    </w:pPr>
  </w:p>
  <w:p w14:paraId="2C33F2B1" w14:textId="77777777" w:rsidR="00422234" w:rsidRDefault="00422234" w:rsidP="00A46960">
    <w:pPr>
      <w:pStyle w:val="Cabealho"/>
      <w:jc w:val="center"/>
      <w:rPr>
        <w:rFonts w:ascii="Bookman Old Style" w:hAnsi="Bookman Old Style" w:cs="Arial"/>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76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15853"/>
    <w:multiLevelType w:val="hybridMultilevel"/>
    <w:tmpl w:val="17A8E1CA"/>
    <w:lvl w:ilvl="0" w:tplc="7B7CE7EE">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21586FFB"/>
    <w:multiLevelType w:val="hybridMultilevel"/>
    <w:tmpl w:val="F4C847D6"/>
    <w:lvl w:ilvl="0" w:tplc="E21CE3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8F3253D"/>
    <w:multiLevelType w:val="hybridMultilevel"/>
    <w:tmpl w:val="243C5BC4"/>
    <w:lvl w:ilvl="0" w:tplc="0DF0EA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D705D"/>
    <w:multiLevelType w:val="hybridMultilevel"/>
    <w:tmpl w:val="94145F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317820"/>
    <w:multiLevelType w:val="hybridMultilevel"/>
    <w:tmpl w:val="D9D6A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E38B4"/>
    <w:multiLevelType w:val="hybridMultilevel"/>
    <w:tmpl w:val="0842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91AD0"/>
    <w:multiLevelType w:val="hybridMultilevel"/>
    <w:tmpl w:val="B48037AE"/>
    <w:lvl w:ilvl="0" w:tplc="BBD8BC9E">
      <w:start w:val="1"/>
      <w:numFmt w:val="lowerRoman"/>
      <w:lvlText w:val="%1."/>
      <w:lvlJc w:val="left"/>
      <w:pPr>
        <w:ind w:left="1440" w:hanging="720"/>
      </w:pPr>
      <w:rPr>
        <w:rFonts w:ascii="Cambria" w:hAnsi="Cambria" w:cs="Times New Roman" w:hint="default"/>
        <w:color w:val="auto"/>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E1"/>
    <w:rsid w:val="0004449D"/>
    <w:rsid w:val="00046127"/>
    <w:rsid w:val="000C032E"/>
    <w:rsid w:val="000E51B6"/>
    <w:rsid w:val="000F3D30"/>
    <w:rsid w:val="00131009"/>
    <w:rsid w:val="00173A56"/>
    <w:rsid w:val="001F653A"/>
    <w:rsid w:val="00214673"/>
    <w:rsid w:val="00245391"/>
    <w:rsid w:val="002845A6"/>
    <w:rsid w:val="002B266A"/>
    <w:rsid w:val="002C0195"/>
    <w:rsid w:val="002E5BDB"/>
    <w:rsid w:val="0033509F"/>
    <w:rsid w:val="00363A4A"/>
    <w:rsid w:val="003B47C0"/>
    <w:rsid w:val="003C2690"/>
    <w:rsid w:val="003D0331"/>
    <w:rsid w:val="00412358"/>
    <w:rsid w:val="00422234"/>
    <w:rsid w:val="00431E81"/>
    <w:rsid w:val="00474D73"/>
    <w:rsid w:val="004D58C6"/>
    <w:rsid w:val="004D73DB"/>
    <w:rsid w:val="005015F7"/>
    <w:rsid w:val="00504353"/>
    <w:rsid w:val="0052108D"/>
    <w:rsid w:val="0056286B"/>
    <w:rsid w:val="00573AD1"/>
    <w:rsid w:val="00575427"/>
    <w:rsid w:val="00585143"/>
    <w:rsid w:val="00590C6E"/>
    <w:rsid w:val="005D0C51"/>
    <w:rsid w:val="00750C65"/>
    <w:rsid w:val="007A2164"/>
    <w:rsid w:val="007D75C4"/>
    <w:rsid w:val="00841551"/>
    <w:rsid w:val="008816C8"/>
    <w:rsid w:val="00883395"/>
    <w:rsid w:val="00883AE9"/>
    <w:rsid w:val="008865A4"/>
    <w:rsid w:val="008C21D6"/>
    <w:rsid w:val="008C698C"/>
    <w:rsid w:val="008D6ABD"/>
    <w:rsid w:val="008E3F32"/>
    <w:rsid w:val="00987FAC"/>
    <w:rsid w:val="009A05BC"/>
    <w:rsid w:val="009E7B73"/>
    <w:rsid w:val="009F0CDF"/>
    <w:rsid w:val="009F6A1A"/>
    <w:rsid w:val="00A367F1"/>
    <w:rsid w:val="00A46960"/>
    <w:rsid w:val="00A7536F"/>
    <w:rsid w:val="00A80D30"/>
    <w:rsid w:val="00AB2B0F"/>
    <w:rsid w:val="00AC4C04"/>
    <w:rsid w:val="00AC6B28"/>
    <w:rsid w:val="00AD0FA9"/>
    <w:rsid w:val="00AF74BF"/>
    <w:rsid w:val="00B00793"/>
    <w:rsid w:val="00B16DEA"/>
    <w:rsid w:val="00B43DE0"/>
    <w:rsid w:val="00B555EE"/>
    <w:rsid w:val="00B845B8"/>
    <w:rsid w:val="00BC0A5D"/>
    <w:rsid w:val="00BC441C"/>
    <w:rsid w:val="00BD49FA"/>
    <w:rsid w:val="00BD575F"/>
    <w:rsid w:val="00C069A1"/>
    <w:rsid w:val="00C223BA"/>
    <w:rsid w:val="00C35E67"/>
    <w:rsid w:val="00C65FE1"/>
    <w:rsid w:val="00C745C4"/>
    <w:rsid w:val="00C854B9"/>
    <w:rsid w:val="00C85886"/>
    <w:rsid w:val="00C94D49"/>
    <w:rsid w:val="00CA1191"/>
    <w:rsid w:val="00CB2ECF"/>
    <w:rsid w:val="00CB7171"/>
    <w:rsid w:val="00CD0509"/>
    <w:rsid w:val="00D709EF"/>
    <w:rsid w:val="00E36547"/>
    <w:rsid w:val="00EA64B3"/>
    <w:rsid w:val="00F20BEF"/>
    <w:rsid w:val="00F21613"/>
    <w:rsid w:val="00F276DC"/>
    <w:rsid w:val="00F44F1C"/>
    <w:rsid w:val="00F70204"/>
    <w:rsid w:val="00F9541A"/>
    <w:rsid w:val="00FF720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DF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FE1"/>
    <w:rPr>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65FE1"/>
    <w:pPr>
      <w:tabs>
        <w:tab w:val="center" w:pos="4252"/>
        <w:tab w:val="right" w:pos="8504"/>
      </w:tabs>
    </w:pPr>
    <w:rPr>
      <w:lang w:val="x-none" w:eastAsia="x-none"/>
    </w:rPr>
  </w:style>
  <w:style w:type="paragraph" w:styleId="Rodap">
    <w:name w:val="footer"/>
    <w:basedOn w:val="Normal"/>
    <w:link w:val="RodapChar"/>
    <w:rsid w:val="00C65FE1"/>
    <w:pPr>
      <w:tabs>
        <w:tab w:val="center" w:pos="4252"/>
        <w:tab w:val="right" w:pos="8504"/>
      </w:tabs>
    </w:pPr>
    <w:rPr>
      <w:lang w:val="x-none" w:eastAsia="x-none"/>
    </w:rPr>
  </w:style>
  <w:style w:type="paragraph" w:styleId="Recuodecorpodetexto2">
    <w:name w:val="Body Text Indent 2"/>
    <w:basedOn w:val="Normal"/>
    <w:link w:val="Recuodecorpodetexto2Char"/>
    <w:rsid w:val="00C65FE1"/>
    <w:pPr>
      <w:spacing w:after="120" w:line="480" w:lineRule="auto"/>
      <w:ind w:left="283"/>
    </w:pPr>
    <w:rPr>
      <w:lang w:val="x-none" w:eastAsia="x-none"/>
    </w:rPr>
  </w:style>
  <w:style w:type="character" w:customStyle="1" w:styleId="RodapChar">
    <w:name w:val="Rodapé Char"/>
    <w:link w:val="Rodap"/>
    <w:rsid w:val="00C65FE1"/>
    <w:rPr>
      <w:sz w:val="24"/>
      <w:lang w:val="x-none" w:eastAsia="x-none" w:bidi="ar-SA"/>
    </w:rPr>
  </w:style>
  <w:style w:type="character" w:customStyle="1" w:styleId="CabealhoChar">
    <w:name w:val="Cabeçalho Char"/>
    <w:link w:val="Cabealho"/>
    <w:rsid w:val="00C65FE1"/>
    <w:rPr>
      <w:sz w:val="24"/>
      <w:lang w:val="x-none" w:eastAsia="x-none" w:bidi="ar-SA"/>
    </w:rPr>
  </w:style>
  <w:style w:type="character" w:customStyle="1" w:styleId="Recuodecorpodetexto2Char">
    <w:name w:val="Recuo de corpo de texto 2 Char"/>
    <w:link w:val="Recuodecorpodetexto2"/>
    <w:rsid w:val="00C65FE1"/>
    <w:rPr>
      <w:sz w:val="24"/>
      <w:lang w:val="x-none" w:eastAsia="x-none" w:bidi="ar-SA"/>
    </w:rPr>
  </w:style>
  <w:style w:type="character" w:styleId="Nmerodepgina">
    <w:name w:val="page number"/>
    <w:basedOn w:val="Fontepargpadro"/>
    <w:rsid w:val="00C65FE1"/>
  </w:style>
  <w:style w:type="paragraph" w:styleId="SemEspaamento">
    <w:name w:val="No Spacing"/>
    <w:qFormat/>
    <w:rsid w:val="00C65FE1"/>
    <w:rPr>
      <w:sz w:val="24"/>
      <w:lang w:eastAsia="pt-BR"/>
    </w:rPr>
  </w:style>
  <w:style w:type="character" w:customStyle="1" w:styleId="apple-converted-space">
    <w:name w:val="apple-converted-space"/>
    <w:basedOn w:val="Fontepargpadro"/>
    <w:rsid w:val="00C35E67"/>
  </w:style>
  <w:style w:type="character" w:styleId="Forte">
    <w:name w:val="Strong"/>
    <w:qFormat/>
    <w:rsid w:val="00C35E67"/>
    <w:rPr>
      <w:b/>
      <w:bCs/>
    </w:rPr>
  </w:style>
  <w:style w:type="paragraph" w:styleId="Textodebalo">
    <w:name w:val="Balloon Text"/>
    <w:basedOn w:val="Normal"/>
    <w:link w:val="TextodebaloChar"/>
    <w:rsid w:val="000F3D30"/>
    <w:rPr>
      <w:rFonts w:ascii="Tahoma" w:hAnsi="Tahoma" w:cs="Tahoma"/>
      <w:sz w:val="16"/>
      <w:szCs w:val="16"/>
    </w:rPr>
  </w:style>
  <w:style w:type="character" w:customStyle="1" w:styleId="TextodebaloChar">
    <w:name w:val="Texto de balão Char"/>
    <w:link w:val="Textodebalo"/>
    <w:rsid w:val="000F3D30"/>
    <w:rPr>
      <w:rFonts w:ascii="Tahoma" w:hAnsi="Tahoma" w:cs="Tahoma"/>
      <w:sz w:val="16"/>
      <w:szCs w:val="16"/>
    </w:rPr>
  </w:style>
  <w:style w:type="paragraph" w:styleId="PargrafodaLista">
    <w:name w:val="List Paragraph"/>
    <w:basedOn w:val="Normal"/>
    <w:uiPriority w:val="34"/>
    <w:qFormat/>
    <w:rsid w:val="008C698C"/>
    <w:pPr>
      <w:spacing w:after="200"/>
      <w:ind w:left="720"/>
      <w:contextualSpacing/>
    </w:pPr>
    <w:rPr>
      <w:rFonts w:ascii="Cambria" w:eastAsia="Cambria" w:hAnsi="Cambria"/>
      <w:szCs w:val="24"/>
      <w:lang w:eastAsia="en-US"/>
    </w:rPr>
  </w:style>
  <w:style w:type="paragraph" w:customStyle="1" w:styleId="Pargrafo">
    <w:name w:val="Parágrafo"/>
    <w:basedOn w:val="Normal"/>
    <w:link w:val="PargrafoChar"/>
    <w:qFormat/>
    <w:rsid w:val="00245391"/>
    <w:pPr>
      <w:spacing w:line="360" w:lineRule="auto"/>
      <w:jc w:val="both"/>
    </w:pPr>
    <w:rPr>
      <w:rFonts w:ascii="Arial" w:hAnsi="Arial"/>
      <w:sz w:val="22"/>
      <w:szCs w:val="24"/>
    </w:rPr>
  </w:style>
  <w:style w:type="character" w:customStyle="1" w:styleId="PargrafoChar">
    <w:name w:val="Parágrafo Char"/>
    <w:link w:val="Pargrafo"/>
    <w:locked/>
    <w:rsid w:val="00245391"/>
    <w:rPr>
      <w:rFonts w:ascii="Arial" w:hAnsi="Arial"/>
      <w:sz w:val="22"/>
      <w:szCs w:val="24"/>
      <w:lang w:eastAsia="pt-BR"/>
    </w:rPr>
  </w:style>
  <w:style w:type="table" w:styleId="Tabelacomgrade">
    <w:name w:val="Table Grid"/>
    <w:basedOn w:val="Tabelanormal"/>
    <w:rsid w:val="0004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185B-2CF0-4477-96C8-541C3D51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3143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3622</CharactersWithSpaces>
  <SharedDoc>false</SharedDoc>
  <HyperlinkBase/>
  <HLinks>
    <vt:vector size="6" baseType="variant">
      <vt:variant>
        <vt:i4>1441860</vt:i4>
      </vt:variant>
      <vt:variant>
        <vt:i4>0</vt:i4>
      </vt:variant>
      <vt:variant>
        <vt:i4>0</vt:i4>
      </vt:variant>
      <vt:variant>
        <vt:i4>5</vt:i4>
      </vt:variant>
      <vt:variant>
        <vt:lpwstr>http://www.uff.br/?q=residencia-medica-0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2016-05-12T14:55:00Z</cp:lastPrinted>
  <dcterms:created xsi:type="dcterms:W3CDTF">2016-07-20T17:23:00Z</dcterms:created>
  <dcterms:modified xsi:type="dcterms:W3CDTF">2016-07-20T17:30:00Z</dcterms:modified>
</cp:coreProperties>
</file>