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ED9" w:rsidRDefault="00222ED9" w:rsidP="00222ED9">
      <w:pPr>
        <w:pStyle w:val="Cabealho"/>
        <w:jc w:val="center"/>
        <w:rPr>
          <w:rFonts w:ascii="Arial Narrow" w:hAnsi="Arial Narrow" w:cs="Aparajita"/>
          <w:b/>
          <w:sz w:val="24"/>
          <w:szCs w:val="24"/>
        </w:rPr>
      </w:pPr>
      <w:r>
        <w:rPr>
          <w:rFonts w:ascii="Arial Narrow" w:hAnsi="Arial Narrow" w:cs="Aparajita"/>
          <w:b/>
          <w:sz w:val="24"/>
          <w:szCs w:val="24"/>
        </w:rPr>
        <w:t xml:space="preserve">   </w:t>
      </w:r>
    </w:p>
    <w:p w:rsidR="00BE5A23" w:rsidRPr="00F97C30" w:rsidRDefault="00222ED9" w:rsidP="00F755CB">
      <w:pPr>
        <w:jc w:val="center"/>
        <w:rPr>
          <w:sz w:val="20"/>
          <w:szCs w:val="20"/>
        </w:rPr>
      </w:pPr>
      <w:r w:rsidRPr="00F97C30">
        <w:rPr>
          <w:rFonts w:cs="Aparajita"/>
          <w:b/>
          <w:sz w:val="20"/>
          <w:szCs w:val="20"/>
        </w:rPr>
        <w:t>Departamento de Material e Patrimônio</w:t>
      </w:r>
    </w:p>
    <w:p w:rsidR="00222ED9" w:rsidRPr="00F97C30" w:rsidRDefault="00222ED9" w:rsidP="00222ED9">
      <w:pPr>
        <w:pStyle w:val="Cabealho"/>
        <w:tabs>
          <w:tab w:val="left" w:pos="4956"/>
          <w:tab w:val="left" w:pos="5664"/>
          <w:tab w:val="left" w:pos="6372"/>
          <w:tab w:val="left" w:pos="7080"/>
        </w:tabs>
        <w:rPr>
          <w:sz w:val="20"/>
          <w:szCs w:val="20"/>
        </w:rPr>
      </w:pPr>
      <w:r w:rsidRPr="00F97C30">
        <w:rPr>
          <w:sz w:val="20"/>
          <w:szCs w:val="20"/>
        </w:rPr>
        <w:tab/>
      </w:r>
      <w:r w:rsidRPr="00F97C30">
        <w:rPr>
          <w:sz w:val="20"/>
          <w:szCs w:val="20"/>
        </w:rPr>
        <w:tab/>
      </w:r>
      <w:r w:rsidRPr="00F97C30">
        <w:rPr>
          <w:sz w:val="20"/>
          <w:szCs w:val="20"/>
        </w:rPr>
        <w:tab/>
      </w:r>
      <w:r w:rsidRPr="00F97C30">
        <w:rPr>
          <w:sz w:val="20"/>
          <w:szCs w:val="20"/>
        </w:rPr>
        <w:tab/>
      </w:r>
      <w:r w:rsidRPr="00F97C30">
        <w:rPr>
          <w:sz w:val="20"/>
          <w:szCs w:val="20"/>
        </w:rPr>
        <w:tab/>
      </w:r>
      <w:r w:rsidRPr="00F97C30">
        <w:rPr>
          <w:sz w:val="20"/>
          <w:szCs w:val="20"/>
        </w:rPr>
        <w:tab/>
      </w:r>
    </w:p>
    <w:tbl>
      <w:tblPr>
        <w:tblStyle w:val="Tabelacomgrade"/>
        <w:tblW w:w="0" w:type="auto"/>
        <w:tblLook w:val="04A0" w:firstRow="1" w:lastRow="0" w:firstColumn="1" w:lastColumn="0" w:noHBand="0" w:noVBand="1"/>
      </w:tblPr>
      <w:tblGrid>
        <w:gridCol w:w="2143"/>
        <w:gridCol w:w="2124"/>
        <w:gridCol w:w="2117"/>
        <w:gridCol w:w="2110"/>
      </w:tblGrid>
      <w:tr w:rsidR="004164B7" w:rsidRPr="00F97C30" w:rsidTr="004164B7">
        <w:tc>
          <w:tcPr>
            <w:tcW w:w="2161" w:type="dxa"/>
          </w:tcPr>
          <w:p w:rsidR="004164B7" w:rsidRPr="00F97C30" w:rsidRDefault="004164B7" w:rsidP="004164B7">
            <w:pPr>
              <w:jc w:val="center"/>
              <w:rPr>
                <w:rFonts w:cs="Arial"/>
                <w:b/>
                <w:sz w:val="20"/>
                <w:szCs w:val="20"/>
              </w:rPr>
            </w:pPr>
            <w:r w:rsidRPr="00F97C30">
              <w:rPr>
                <w:rFonts w:cs="Arial"/>
                <w:b/>
                <w:sz w:val="20"/>
                <w:szCs w:val="20"/>
              </w:rPr>
              <w:t>PROCESSO:</w:t>
            </w:r>
          </w:p>
        </w:tc>
        <w:tc>
          <w:tcPr>
            <w:tcW w:w="2161" w:type="dxa"/>
          </w:tcPr>
          <w:p w:rsidR="004164B7" w:rsidRPr="00F97C30" w:rsidRDefault="004164B7" w:rsidP="004164B7">
            <w:pPr>
              <w:jc w:val="center"/>
              <w:rPr>
                <w:rFonts w:cs="Arial"/>
                <w:b/>
                <w:sz w:val="20"/>
                <w:szCs w:val="20"/>
              </w:rPr>
            </w:pPr>
            <w:r w:rsidRPr="00F97C30">
              <w:rPr>
                <w:rFonts w:cs="Arial"/>
                <w:b/>
                <w:sz w:val="20"/>
                <w:szCs w:val="20"/>
              </w:rPr>
              <w:t>DATA:</w:t>
            </w:r>
          </w:p>
        </w:tc>
        <w:tc>
          <w:tcPr>
            <w:tcW w:w="2161" w:type="dxa"/>
          </w:tcPr>
          <w:p w:rsidR="004164B7" w:rsidRPr="00F97C30" w:rsidRDefault="004164B7" w:rsidP="004164B7">
            <w:pPr>
              <w:jc w:val="center"/>
              <w:rPr>
                <w:rFonts w:cs="Arial"/>
                <w:b/>
                <w:sz w:val="20"/>
                <w:szCs w:val="20"/>
              </w:rPr>
            </w:pPr>
            <w:r w:rsidRPr="00F97C30">
              <w:rPr>
                <w:rFonts w:cs="Arial"/>
                <w:b/>
                <w:sz w:val="20"/>
                <w:szCs w:val="20"/>
              </w:rPr>
              <w:t>RUBRICA:</w:t>
            </w:r>
          </w:p>
        </w:tc>
        <w:tc>
          <w:tcPr>
            <w:tcW w:w="2161" w:type="dxa"/>
          </w:tcPr>
          <w:p w:rsidR="004164B7" w:rsidRPr="00F97C30" w:rsidRDefault="004164B7" w:rsidP="004164B7">
            <w:pPr>
              <w:jc w:val="center"/>
              <w:rPr>
                <w:rFonts w:cs="Arial"/>
                <w:b/>
                <w:sz w:val="20"/>
                <w:szCs w:val="20"/>
              </w:rPr>
            </w:pPr>
            <w:r w:rsidRPr="00F97C30">
              <w:rPr>
                <w:rFonts w:cs="Arial"/>
                <w:b/>
                <w:sz w:val="20"/>
                <w:szCs w:val="20"/>
              </w:rPr>
              <w:t>FOLHA:</w:t>
            </w:r>
          </w:p>
        </w:tc>
      </w:tr>
      <w:tr w:rsidR="004164B7" w:rsidRPr="00F97C30" w:rsidTr="0068281C">
        <w:trPr>
          <w:trHeight w:val="754"/>
        </w:trPr>
        <w:tc>
          <w:tcPr>
            <w:tcW w:w="2161" w:type="dxa"/>
          </w:tcPr>
          <w:p w:rsidR="004164B7" w:rsidRPr="00F97C30" w:rsidRDefault="004164B7">
            <w:pPr>
              <w:rPr>
                <w:rFonts w:cs="Arial"/>
                <w:b/>
                <w:sz w:val="20"/>
                <w:szCs w:val="20"/>
              </w:rPr>
            </w:pPr>
          </w:p>
          <w:p w:rsidR="004164B7" w:rsidRPr="00F97C30" w:rsidRDefault="0068281C">
            <w:pPr>
              <w:rPr>
                <w:rFonts w:cs="Arial"/>
                <w:b/>
                <w:sz w:val="20"/>
                <w:szCs w:val="20"/>
              </w:rPr>
            </w:pPr>
            <w:r w:rsidRPr="00F97C30">
              <w:rPr>
                <w:rFonts w:cs="Arial"/>
                <w:b/>
                <w:sz w:val="20"/>
                <w:szCs w:val="20"/>
              </w:rPr>
              <w:t>0</w:t>
            </w:r>
            <w:r w:rsidR="006457BD" w:rsidRPr="00F97C30">
              <w:rPr>
                <w:rFonts w:cs="Arial"/>
                <w:b/>
                <w:sz w:val="20"/>
                <w:szCs w:val="20"/>
              </w:rPr>
              <w:t>2</w:t>
            </w:r>
            <w:r w:rsidRPr="00F97C30">
              <w:rPr>
                <w:rFonts w:cs="Arial"/>
                <w:b/>
                <w:sz w:val="20"/>
                <w:szCs w:val="20"/>
              </w:rPr>
              <w:t>0/</w:t>
            </w:r>
            <w:r w:rsidR="00A95422" w:rsidRPr="00F97C30">
              <w:rPr>
                <w:rFonts w:cs="Arial"/>
                <w:b/>
                <w:sz w:val="20"/>
                <w:szCs w:val="20"/>
              </w:rPr>
              <w:t>00</w:t>
            </w:r>
            <w:r w:rsidR="00F97C30" w:rsidRPr="00F97C30">
              <w:rPr>
                <w:rFonts w:cs="Arial"/>
                <w:b/>
                <w:sz w:val="20"/>
                <w:szCs w:val="20"/>
              </w:rPr>
              <w:t>1799</w:t>
            </w:r>
            <w:r w:rsidRPr="00F97C30">
              <w:rPr>
                <w:rFonts w:cs="Arial"/>
                <w:b/>
                <w:sz w:val="20"/>
                <w:szCs w:val="20"/>
              </w:rPr>
              <w:t>/201</w:t>
            </w:r>
            <w:r w:rsidR="00F97C30" w:rsidRPr="00F97C30">
              <w:rPr>
                <w:rFonts w:cs="Arial"/>
                <w:b/>
                <w:sz w:val="20"/>
                <w:szCs w:val="20"/>
              </w:rPr>
              <w:t>6</w:t>
            </w:r>
          </w:p>
          <w:p w:rsidR="004164B7" w:rsidRPr="00F97C30" w:rsidRDefault="004164B7">
            <w:pPr>
              <w:rPr>
                <w:rFonts w:cs="Arial"/>
                <w:b/>
                <w:sz w:val="20"/>
                <w:szCs w:val="20"/>
              </w:rPr>
            </w:pPr>
          </w:p>
        </w:tc>
        <w:tc>
          <w:tcPr>
            <w:tcW w:w="2161" w:type="dxa"/>
          </w:tcPr>
          <w:p w:rsidR="00346362" w:rsidRPr="00F97C30" w:rsidRDefault="00346362" w:rsidP="00267DBE">
            <w:pPr>
              <w:jc w:val="center"/>
              <w:rPr>
                <w:rFonts w:cs="Arial"/>
                <w:b/>
                <w:sz w:val="20"/>
                <w:szCs w:val="20"/>
              </w:rPr>
            </w:pPr>
          </w:p>
          <w:p w:rsidR="004164B7" w:rsidRPr="00F97C30" w:rsidRDefault="00A95422" w:rsidP="00A95422">
            <w:pPr>
              <w:jc w:val="center"/>
              <w:rPr>
                <w:rFonts w:cs="Arial"/>
                <w:b/>
                <w:sz w:val="20"/>
                <w:szCs w:val="20"/>
              </w:rPr>
            </w:pPr>
            <w:r w:rsidRPr="00F97C30">
              <w:rPr>
                <w:rFonts w:cs="Arial"/>
                <w:b/>
                <w:sz w:val="20"/>
                <w:szCs w:val="20"/>
              </w:rPr>
              <w:t>1</w:t>
            </w:r>
            <w:r w:rsidR="00F97C30" w:rsidRPr="00F97C30">
              <w:rPr>
                <w:rFonts w:cs="Arial"/>
                <w:b/>
                <w:sz w:val="20"/>
                <w:szCs w:val="20"/>
              </w:rPr>
              <w:t>0</w:t>
            </w:r>
            <w:r w:rsidR="0068281C" w:rsidRPr="00F97C30">
              <w:rPr>
                <w:rFonts w:cs="Arial"/>
                <w:b/>
                <w:sz w:val="20"/>
                <w:szCs w:val="20"/>
              </w:rPr>
              <w:t>/</w:t>
            </w:r>
            <w:r w:rsidR="00F97C30" w:rsidRPr="00F97C30">
              <w:rPr>
                <w:rFonts w:cs="Arial"/>
                <w:b/>
                <w:sz w:val="20"/>
                <w:szCs w:val="20"/>
              </w:rPr>
              <w:t>06</w:t>
            </w:r>
            <w:r w:rsidR="0068281C" w:rsidRPr="00F97C30">
              <w:rPr>
                <w:rFonts w:cs="Arial"/>
                <w:b/>
                <w:sz w:val="20"/>
                <w:szCs w:val="20"/>
              </w:rPr>
              <w:t>/201</w:t>
            </w:r>
            <w:r w:rsidR="00F97C30" w:rsidRPr="00F97C30">
              <w:rPr>
                <w:rFonts w:cs="Arial"/>
                <w:b/>
                <w:sz w:val="20"/>
                <w:szCs w:val="20"/>
              </w:rPr>
              <w:t>6</w:t>
            </w:r>
          </w:p>
        </w:tc>
        <w:tc>
          <w:tcPr>
            <w:tcW w:w="2161" w:type="dxa"/>
          </w:tcPr>
          <w:p w:rsidR="004164B7" w:rsidRPr="00F97C30" w:rsidRDefault="004164B7">
            <w:pPr>
              <w:rPr>
                <w:rFonts w:cs="Arial"/>
                <w:b/>
                <w:sz w:val="20"/>
                <w:szCs w:val="20"/>
              </w:rPr>
            </w:pPr>
          </w:p>
        </w:tc>
        <w:tc>
          <w:tcPr>
            <w:tcW w:w="2161" w:type="dxa"/>
          </w:tcPr>
          <w:p w:rsidR="00346362" w:rsidRPr="00F97C30" w:rsidRDefault="00346362" w:rsidP="003D36FA">
            <w:pPr>
              <w:jc w:val="center"/>
              <w:rPr>
                <w:rFonts w:cs="Arial"/>
                <w:b/>
                <w:sz w:val="20"/>
                <w:szCs w:val="20"/>
              </w:rPr>
            </w:pPr>
          </w:p>
          <w:p w:rsidR="004164B7" w:rsidRPr="00F97C30" w:rsidRDefault="004164B7" w:rsidP="003D36FA">
            <w:pPr>
              <w:jc w:val="center"/>
              <w:rPr>
                <w:rFonts w:cs="Arial"/>
                <w:b/>
                <w:sz w:val="20"/>
                <w:szCs w:val="20"/>
              </w:rPr>
            </w:pPr>
          </w:p>
        </w:tc>
      </w:tr>
    </w:tbl>
    <w:p w:rsidR="004164B7" w:rsidRPr="00F97C30" w:rsidRDefault="004164B7">
      <w:pPr>
        <w:rPr>
          <w:rFonts w:cs="Times New Roman"/>
          <w:sz w:val="20"/>
          <w:szCs w:val="20"/>
        </w:rPr>
      </w:pPr>
    </w:p>
    <w:p w:rsidR="001517FF" w:rsidRPr="00F97C30" w:rsidRDefault="001517FF" w:rsidP="0020784B">
      <w:pPr>
        <w:jc w:val="center"/>
        <w:rPr>
          <w:rFonts w:cs="Arial"/>
          <w:b/>
          <w:sz w:val="20"/>
          <w:szCs w:val="20"/>
        </w:rPr>
      </w:pPr>
      <w:r w:rsidRPr="00F97C30">
        <w:rPr>
          <w:rFonts w:cs="Arial"/>
          <w:b/>
          <w:sz w:val="20"/>
          <w:szCs w:val="20"/>
        </w:rPr>
        <w:t>ATA DE REGISTRO DE PREÇOS</w:t>
      </w:r>
      <w:r w:rsidR="0020784B" w:rsidRPr="00F97C30">
        <w:rPr>
          <w:rFonts w:cs="Arial"/>
          <w:b/>
          <w:sz w:val="20"/>
          <w:szCs w:val="20"/>
        </w:rPr>
        <w:t xml:space="preserve"> DE </w:t>
      </w:r>
      <w:r w:rsidR="00A95422" w:rsidRPr="00F97C30">
        <w:rPr>
          <w:rFonts w:cs="Arial"/>
          <w:b/>
          <w:sz w:val="20"/>
          <w:szCs w:val="20"/>
        </w:rPr>
        <w:t>CAFÉ E AÇUCAR</w:t>
      </w:r>
    </w:p>
    <w:p w:rsidR="00A95422" w:rsidRPr="00F97C30" w:rsidRDefault="00A95422" w:rsidP="00A95422">
      <w:pPr>
        <w:jc w:val="center"/>
        <w:rPr>
          <w:rFonts w:eastAsia="Times New Roman" w:cs="Arial"/>
          <w:b/>
          <w:iCs/>
          <w:sz w:val="20"/>
          <w:szCs w:val="20"/>
        </w:rPr>
      </w:pPr>
      <w:r w:rsidRPr="00F97C30">
        <w:rPr>
          <w:rFonts w:eastAsia="Times New Roman" w:cs="Arial"/>
          <w:b/>
          <w:iCs/>
          <w:sz w:val="20"/>
          <w:szCs w:val="20"/>
        </w:rPr>
        <w:t xml:space="preserve">VALIDADE: 12 (DOZE) MESES </w:t>
      </w:r>
    </w:p>
    <w:p w:rsidR="00A95422" w:rsidRDefault="00A95422" w:rsidP="00A95422">
      <w:pPr>
        <w:jc w:val="both"/>
        <w:rPr>
          <w:rFonts w:eastAsia="Times New Roman" w:cs="Arial"/>
          <w:iCs/>
          <w:sz w:val="20"/>
          <w:szCs w:val="20"/>
        </w:rPr>
      </w:pPr>
      <w:r w:rsidRPr="00F97C30">
        <w:rPr>
          <w:rFonts w:eastAsia="Times New Roman" w:cs="Arial"/>
          <w:iCs/>
          <w:sz w:val="20"/>
          <w:szCs w:val="20"/>
        </w:rPr>
        <w:t xml:space="preserve">Aos </w:t>
      </w:r>
      <w:r w:rsidR="00AF144A">
        <w:rPr>
          <w:rFonts w:eastAsia="Times New Roman" w:cs="Arial"/>
          <w:iCs/>
          <w:sz w:val="20"/>
          <w:szCs w:val="20"/>
        </w:rPr>
        <w:t>13</w:t>
      </w:r>
      <w:r w:rsidRPr="00F97C30">
        <w:rPr>
          <w:rFonts w:eastAsia="Times New Roman" w:cs="Arial"/>
          <w:iCs/>
          <w:sz w:val="20"/>
          <w:szCs w:val="20"/>
        </w:rPr>
        <w:t xml:space="preserve"> (</w:t>
      </w:r>
      <w:r w:rsidR="00AF144A">
        <w:rPr>
          <w:rFonts w:eastAsia="Times New Roman" w:cs="Arial"/>
          <w:iCs/>
          <w:sz w:val="20"/>
          <w:szCs w:val="20"/>
        </w:rPr>
        <w:t>treze</w:t>
      </w:r>
      <w:bookmarkStart w:id="0" w:name="_GoBack"/>
      <w:bookmarkEnd w:id="0"/>
      <w:r w:rsidRPr="00F97C30">
        <w:rPr>
          <w:rFonts w:eastAsia="Times New Roman" w:cs="Arial"/>
          <w:iCs/>
          <w:sz w:val="20"/>
          <w:szCs w:val="20"/>
        </w:rPr>
        <w:t xml:space="preserve">) dias do mês de </w:t>
      </w:r>
      <w:r w:rsidR="00F97C30">
        <w:rPr>
          <w:rFonts w:eastAsia="Times New Roman" w:cs="Arial"/>
          <w:iCs/>
          <w:sz w:val="20"/>
          <w:szCs w:val="20"/>
        </w:rPr>
        <w:t>outubro</w:t>
      </w:r>
      <w:r w:rsidRPr="00F97C30">
        <w:rPr>
          <w:rFonts w:eastAsia="Times New Roman" w:cs="Arial"/>
          <w:iCs/>
          <w:sz w:val="20"/>
          <w:szCs w:val="20"/>
        </w:rPr>
        <w:t xml:space="preserve"> do ano de dois mil e </w:t>
      </w:r>
      <w:r w:rsidR="00F97C30">
        <w:rPr>
          <w:rFonts w:eastAsia="Times New Roman" w:cs="Arial"/>
          <w:iCs/>
          <w:sz w:val="20"/>
          <w:szCs w:val="20"/>
        </w:rPr>
        <w:t>dezesseis (2016</w:t>
      </w:r>
      <w:r w:rsidRPr="00F97C30">
        <w:rPr>
          <w:rFonts w:eastAsia="Times New Roman" w:cs="Arial"/>
          <w:iCs/>
          <w:sz w:val="20"/>
          <w:szCs w:val="20"/>
        </w:rPr>
        <w:t xml:space="preserve">), presentes de um lado, a SECRETARIA MUNICIPAL DE ADMINISTRAÇÃO DA PREFEITURA MUNICIPAL DE NITERÓI, inscrita no CNPJ sob o nº 28.521.748/0001-59, sediada na Rua Visconde de </w:t>
      </w:r>
      <w:proofErr w:type="spellStart"/>
      <w:r w:rsidRPr="00F97C30">
        <w:rPr>
          <w:rFonts w:eastAsia="Times New Roman" w:cs="Arial"/>
          <w:iCs/>
          <w:sz w:val="20"/>
          <w:szCs w:val="20"/>
        </w:rPr>
        <w:t>Sepetiba</w:t>
      </w:r>
      <w:proofErr w:type="spellEnd"/>
      <w:r w:rsidRPr="00F97C30">
        <w:rPr>
          <w:rFonts w:eastAsia="Times New Roman" w:cs="Arial"/>
          <w:iCs/>
          <w:sz w:val="20"/>
          <w:szCs w:val="20"/>
        </w:rPr>
        <w:t>, 987/4º andar, Centro, /Niterói - RJ, representada por seu Secretário Municipal de Administração Sr. MO</w:t>
      </w:r>
      <w:r w:rsidR="006F067E" w:rsidRPr="00F97C30">
        <w:rPr>
          <w:rFonts w:eastAsia="Times New Roman" w:cs="Arial"/>
          <w:iCs/>
          <w:sz w:val="20"/>
          <w:szCs w:val="20"/>
        </w:rPr>
        <w:t>ACIR LINHARES SOLTINHO DA CRUZ, portador da Carteira de Identidade nº 04672321-9 e inscrito no CPF sob o nº 155.015.827-91</w:t>
      </w:r>
      <w:r w:rsidRPr="00F97C30">
        <w:rPr>
          <w:rFonts w:eastAsia="Times New Roman" w:cs="Arial"/>
          <w:iCs/>
          <w:sz w:val="20"/>
          <w:szCs w:val="20"/>
        </w:rPr>
        <w:t xml:space="preserve">, conforme competência que lhe foi delegada através do Decreto Municipal n° 10.022/2006 doravante denominado ÓRGÃO GERENCIADOR, em face da classificação das propostas de preços no Pregão Presencial nº </w:t>
      </w:r>
      <w:r w:rsidR="006F067E" w:rsidRPr="00F97C30">
        <w:rPr>
          <w:rFonts w:eastAsia="Times New Roman" w:cs="Arial"/>
          <w:iCs/>
          <w:sz w:val="20"/>
          <w:szCs w:val="20"/>
        </w:rPr>
        <w:t>0</w:t>
      </w:r>
      <w:r w:rsidR="00F97C30">
        <w:rPr>
          <w:rFonts w:eastAsia="Times New Roman" w:cs="Arial"/>
          <w:iCs/>
          <w:sz w:val="20"/>
          <w:szCs w:val="20"/>
        </w:rPr>
        <w:t>33</w:t>
      </w:r>
      <w:r w:rsidRPr="00F97C30">
        <w:rPr>
          <w:rFonts w:eastAsia="Times New Roman" w:cs="Arial"/>
          <w:iCs/>
          <w:sz w:val="20"/>
          <w:szCs w:val="20"/>
        </w:rPr>
        <w:t>/201</w:t>
      </w:r>
      <w:r w:rsidR="00F97C30">
        <w:rPr>
          <w:rFonts w:eastAsia="Times New Roman" w:cs="Arial"/>
          <w:iCs/>
          <w:sz w:val="20"/>
          <w:szCs w:val="20"/>
        </w:rPr>
        <w:t>6</w:t>
      </w:r>
      <w:r w:rsidRPr="00F97C30">
        <w:rPr>
          <w:rFonts w:eastAsia="Times New Roman" w:cs="Arial"/>
          <w:iCs/>
          <w:sz w:val="20"/>
          <w:szCs w:val="20"/>
        </w:rPr>
        <w:t xml:space="preserve"> para formação da Ata de Registro de Preços, tendo como fundamento a Ata de julgamento e classificação das propostas, RESOLVE registrar os preços para Aquisição de Café e Açúcar, constantes no Anexo V do Edital, que passa a fazer parte integrante desta Ata de Registro de Preços, tendo sido a empresa classificada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como órgão gerenciador, na forma prevista no instrumento </w:t>
      </w:r>
      <w:proofErr w:type="spellStart"/>
      <w:r w:rsidRPr="00F97C30">
        <w:rPr>
          <w:rFonts w:eastAsia="Times New Roman" w:cs="Arial"/>
          <w:iCs/>
          <w:sz w:val="20"/>
          <w:szCs w:val="20"/>
        </w:rPr>
        <w:t>editalício</w:t>
      </w:r>
      <w:proofErr w:type="spellEnd"/>
      <w:r w:rsidRPr="00F97C30">
        <w:rPr>
          <w:rFonts w:eastAsia="Times New Roman" w:cs="Arial"/>
          <w:iCs/>
          <w:sz w:val="20"/>
          <w:szCs w:val="20"/>
        </w:rPr>
        <w:t>, com a</w:t>
      </w:r>
      <w:r w:rsidR="00F97C30">
        <w:rPr>
          <w:rFonts w:eastAsia="Times New Roman" w:cs="Arial"/>
          <w:iCs/>
          <w:sz w:val="20"/>
          <w:szCs w:val="20"/>
        </w:rPr>
        <w:t xml:space="preserve"> empresa</w:t>
      </w:r>
      <w:r w:rsidRPr="00F97C30">
        <w:rPr>
          <w:rFonts w:eastAsia="Times New Roman" w:cs="Arial"/>
          <w:iCs/>
          <w:sz w:val="20"/>
          <w:szCs w:val="20"/>
        </w:rPr>
        <w:t xml:space="preserve"> que tiver</w:t>
      </w:r>
      <w:r w:rsidR="00F97C30">
        <w:rPr>
          <w:rFonts w:eastAsia="Times New Roman" w:cs="Arial"/>
          <w:iCs/>
          <w:sz w:val="20"/>
          <w:szCs w:val="20"/>
        </w:rPr>
        <w:t xml:space="preserve"> </w:t>
      </w:r>
      <w:r w:rsidRPr="00F97C30">
        <w:rPr>
          <w:rFonts w:eastAsia="Times New Roman" w:cs="Arial"/>
          <w:iCs/>
          <w:sz w:val="20"/>
          <w:szCs w:val="20"/>
        </w:rPr>
        <w:t xml:space="preserve">preços registrados, na forma do Anexo V. Tendo sido cumpridas todas as formalidades legais e nada mais havendo a constar, lavrando-se esta Ata que vai assinada pelo Sr. SECRETÁRIO MUNICIPAL </w:t>
      </w:r>
      <w:r w:rsidR="00EF3525" w:rsidRPr="00F97C30">
        <w:rPr>
          <w:rFonts w:eastAsia="Times New Roman" w:cs="Arial"/>
          <w:iCs/>
          <w:sz w:val="20"/>
          <w:szCs w:val="20"/>
        </w:rPr>
        <w:t>DE ADMINISTRAÇÃO, bem como pelo representante</w:t>
      </w:r>
      <w:r w:rsidRPr="00F97C30">
        <w:rPr>
          <w:rFonts w:eastAsia="Times New Roman" w:cs="Arial"/>
          <w:iCs/>
          <w:sz w:val="20"/>
          <w:szCs w:val="20"/>
        </w:rPr>
        <w:t xml:space="preserve"> da empresa com preços registrados, devendo a mesma ser publicada no Diário Oficial do Município para que opere seus jurídicos e legais efeitos. </w:t>
      </w:r>
    </w:p>
    <w:p w:rsidR="00A95422" w:rsidRPr="00F97C30" w:rsidRDefault="00A95422" w:rsidP="00A95422">
      <w:pPr>
        <w:jc w:val="both"/>
        <w:rPr>
          <w:rFonts w:eastAsia="Times New Roman" w:cs="Arial"/>
          <w:b/>
          <w:iCs/>
          <w:sz w:val="20"/>
          <w:szCs w:val="20"/>
        </w:rPr>
      </w:pPr>
      <w:r w:rsidRPr="00F97C30">
        <w:rPr>
          <w:rFonts w:eastAsia="Times New Roman" w:cs="Arial"/>
          <w:iCs/>
          <w:sz w:val="20"/>
          <w:szCs w:val="20"/>
        </w:rPr>
        <w:t xml:space="preserve"> </w:t>
      </w:r>
      <w:r w:rsidRPr="00F97C30">
        <w:rPr>
          <w:rFonts w:eastAsia="Times New Roman" w:cs="Arial"/>
          <w:b/>
          <w:iCs/>
          <w:sz w:val="20"/>
          <w:szCs w:val="20"/>
        </w:rPr>
        <w:t xml:space="preserve">CLÁUSULA PRIMEIRA – DO OBJETO </w:t>
      </w:r>
    </w:p>
    <w:p w:rsidR="00A95422" w:rsidRDefault="00A95422" w:rsidP="00A95422">
      <w:pPr>
        <w:jc w:val="both"/>
        <w:rPr>
          <w:rFonts w:eastAsia="Times New Roman" w:cs="Arial"/>
          <w:iCs/>
          <w:sz w:val="20"/>
          <w:szCs w:val="20"/>
        </w:rPr>
      </w:pPr>
      <w:r w:rsidRPr="00F97C30">
        <w:rPr>
          <w:rFonts w:eastAsia="Times New Roman" w:cs="Arial"/>
          <w:iCs/>
          <w:sz w:val="20"/>
          <w:szCs w:val="20"/>
        </w:rPr>
        <w:t xml:space="preserve">O objeto da presente ATA DE REGISTRO DE PREÇOS consiste no fornecimento de AQUISIÇÃO DE CAFÉ E AÇUCAR, COM PREÇOS INSCRITOS na mesma, conforme as especificações constantes da proposta comercial referente ao Edital de PREGÃO PRESENCIAL Nº </w:t>
      </w:r>
      <w:r w:rsidR="006F067E" w:rsidRPr="00F97C30">
        <w:rPr>
          <w:rFonts w:eastAsia="Times New Roman" w:cs="Arial"/>
          <w:iCs/>
          <w:sz w:val="20"/>
          <w:szCs w:val="20"/>
        </w:rPr>
        <w:t>0</w:t>
      </w:r>
      <w:r w:rsidR="00F97C30">
        <w:rPr>
          <w:rFonts w:eastAsia="Times New Roman" w:cs="Arial"/>
          <w:iCs/>
          <w:sz w:val="20"/>
          <w:szCs w:val="20"/>
        </w:rPr>
        <w:t>33</w:t>
      </w:r>
      <w:r w:rsidRPr="00F97C30">
        <w:rPr>
          <w:rFonts w:eastAsia="Times New Roman" w:cs="Arial"/>
          <w:iCs/>
          <w:sz w:val="20"/>
          <w:szCs w:val="20"/>
        </w:rPr>
        <w:t>/201</w:t>
      </w:r>
      <w:r w:rsidR="00F97C30">
        <w:rPr>
          <w:rFonts w:eastAsia="Times New Roman" w:cs="Arial"/>
          <w:iCs/>
          <w:sz w:val="20"/>
          <w:szCs w:val="20"/>
        </w:rPr>
        <w:t>6</w:t>
      </w:r>
      <w:r w:rsidRPr="00F97C30">
        <w:rPr>
          <w:rFonts w:eastAsia="Times New Roman" w:cs="Arial"/>
          <w:iCs/>
          <w:sz w:val="20"/>
          <w:szCs w:val="20"/>
        </w:rPr>
        <w:t xml:space="preserve"> e seus anexos.</w:t>
      </w:r>
    </w:p>
    <w:p w:rsidR="00A95422" w:rsidRPr="00F97C30" w:rsidRDefault="00A95422" w:rsidP="00A95422">
      <w:pPr>
        <w:jc w:val="both"/>
        <w:rPr>
          <w:rFonts w:eastAsia="Times New Roman" w:cs="Arial"/>
          <w:b/>
          <w:iCs/>
          <w:sz w:val="20"/>
          <w:szCs w:val="20"/>
        </w:rPr>
      </w:pPr>
      <w:r w:rsidRPr="00F97C30">
        <w:rPr>
          <w:rFonts w:eastAsia="Times New Roman" w:cs="Arial"/>
          <w:b/>
          <w:iCs/>
          <w:sz w:val="20"/>
          <w:szCs w:val="20"/>
        </w:rPr>
        <w:t xml:space="preserve">CLÁUSULA SEGUNDA - DA VALIDADE DOS PREÇOS </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 xml:space="preserve">A presente Ata de Registro de Preços terá a validade de 12 (doze) meses, a partir da sua Publicação. </w:t>
      </w:r>
    </w:p>
    <w:p w:rsidR="00A95422" w:rsidRDefault="00A95422" w:rsidP="00A95422">
      <w:pPr>
        <w:jc w:val="both"/>
        <w:rPr>
          <w:rFonts w:eastAsia="Times New Roman" w:cs="Arial"/>
          <w:iCs/>
          <w:sz w:val="20"/>
          <w:szCs w:val="20"/>
        </w:rPr>
      </w:pPr>
      <w:r w:rsidRPr="00F97C30">
        <w:rPr>
          <w:rFonts w:eastAsia="Times New Roman" w:cs="Arial"/>
          <w:iCs/>
          <w:sz w:val="20"/>
          <w:szCs w:val="20"/>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6549D8" w:rsidRPr="00F97C30" w:rsidRDefault="006549D8" w:rsidP="00A95422">
      <w:pPr>
        <w:jc w:val="both"/>
        <w:rPr>
          <w:rFonts w:eastAsia="Times New Roman" w:cs="Arial"/>
          <w:iCs/>
          <w:sz w:val="20"/>
          <w:szCs w:val="20"/>
        </w:rPr>
      </w:pPr>
    </w:p>
    <w:p w:rsidR="00A95422" w:rsidRPr="00F97C30" w:rsidRDefault="00A95422" w:rsidP="00A95422">
      <w:pPr>
        <w:jc w:val="both"/>
        <w:rPr>
          <w:rFonts w:eastAsia="Times New Roman" w:cs="Arial"/>
          <w:b/>
          <w:iCs/>
          <w:sz w:val="20"/>
          <w:szCs w:val="20"/>
        </w:rPr>
      </w:pPr>
      <w:r w:rsidRPr="00F97C30">
        <w:rPr>
          <w:rFonts w:eastAsia="Times New Roman" w:cs="Arial"/>
          <w:b/>
          <w:iCs/>
          <w:sz w:val="20"/>
          <w:szCs w:val="20"/>
        </w:rPr>
        <w:t xml:space="preserve">CLÁUSULA TERCEIRA - DA UTILIZAÇÃO DA ATA DE REGISTRO DE PREÇOS </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Serão usuários do Registro de Preços os órgãos participantes, quais sejam: SECRETARIA MUNICIPAL DE ADMINISTRAÇÃO E AS DEMAIS SECRETARIAS DA ADMINISTRAÇÃO DIRETA.</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 xml:space="preserve">O preço ofertado pelas empresas signatárias da presente Ata de Registro de Preços é o especificado no Anexo V, de acordo com a respectiva classificação no Pregão Presencial nº </w:t>
      </w:r>
      <w:r w:rsidR="006F067E" w:rsidRPr="00F97C30">
        <w:rPr>
          <w:rFonts w:eastAsia="Times New Roman" w:cs="Arial"/>
          <w:iCs/>
          <w:sz w:val="20"/>
          <w:szCs w:val="20"/>
        </w:rPr>
        <w:t>0</w:t>
      </w:r>
      <w:r w:rsidR="00F97C30">
        <w:rPr>
          <w:rFonts w:eastAsia="Times New Roman" w:cs="Arial"/>
          <w:iCs/>
          <w:sz w:val="20"/>
          <w:szCs w:val="20"/>
        </w:rPr>
        <w:t>33</w:t>
      </w:r>
      <w:r w:rsidRPr="00F97C30">
        <w:rPr>
          <w:rFonts w:eastAsia="Times New Roman" w:cs="Arial"/>
          <w:iCs/>
          <w:sz w:val="20"/>
          <w:szCs w:val="20"/>
        </w:rPr>
        <w:t>/201</w:t>
      </w:r>
      <w:r w:rsidR="00F97C30">
        <w:rPr>
          <w:rFonts w:eastAsia="Times New Roman" w:cs="Arial"/>
          <w:iCs/>
          <w:sz w:val="20"/>
          <w:szCs w:val="20"/>
        </w:rPr>
        <w:t>6</w:t>
      </w:r>
      <w:r w:rsidRPr="00F97C30">
        <w:rPr>
          <w:rFonts w:eastAsia="Times New Roman" w:cs="Arial"/>
          <w:iCs/>
          <w:sz w:val="20"/>
          <w:szCs w:val="20"/>
        </w:rPr>
        <w:t xml:space="preserve">. </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 xml:space="preserve">Para cada insumo de que trata esta Ata, serão observadas, quanto ao preço, as cláusulas e condições constantes do Edital do Pregão Presencial nº </w:t>
      </w:r>
      <w:r w:rsidR="006F067E" w:rsidRPr="00F97C30">
        <w:rPr>
          <w:rFonts w:eastAsia="Times New Roman" w:cs="Arial"/>
          <w:iCs/>
          <w:sz w:val="20"/>
          <w:szCs w:val="20"/>
        </w:rPr>
        <w:t>0</w:t>
      </w:r>
      <w:r w:rsidR="00F97C30">
        <w:rPr>
          <w:rFonts w:eastAsia="Times New Roman" w:cs="Arial"/>
          <w:iCs/>
          <w:sz w:val="20"/>
          <w:szCs w:val="20"/>
        </w:rPr>
        <w:t>33</w:t>
      </w:r>
      <w:r w:rsidRPr="00F97C30">
        <w:rPr>
          <w:rFonts w:eastAsia="Times New Roman" w:cs="Arial"/>
          <w:iCs/>
          <w:sz w:val="20"/>
          <w:szCs w:val="20"/>
        </w:rPr>
        <w:t>/201</w:t>
      </w:r>
      <w:r w:rsidR="00F97C30">
        <w:rPr>
          <w:rFonts w:eastAsia="Times New Roman" w:cs="Arial"/>
          <w:iCs/>
          <w:sz w:val="20"/>
          <w:szCs w:val="20"/>
        </w:rPr>
        <w:t>6</w:t>
      </w:r>
      <w:r w:rsidRPr="00F97C30">
        <w:rPr>
          <w:rFonts w:eastAsia="Times New Roman" w:cs="Arial"/>
          <w:iCs/>
          <w:sz w:val="20"/>
          <w:szCs w:val="20"/>
        </w:rPr>
        <w:t xml:space="preserve">, que a precedeu e integra o presente instrumento de compromisso. </w:t>
      </w:r>
    </w:p>
    <w:p w:rsidR="00A95422" w:rsidRDefault="00A95422" w:rsidP="00A95422">
      <w:pPr>
        <w:jc w:val="both"/>
        <w:rPr>
          <w:rFonts w:eastAsia="Times New Roman" w:cs="Arial"/>
          <w:iCs/>
          <w:sz w:val="20"/>
          <w:szCs w:val="20"/>
        </w:rPr>
      </w:pPr>
      <w:r w:rsidRPr="00F97C30">
        <w:rPr>
          <w:rFonts w:eastAsia="Times New Roman" w:cs="Arial"/>
          <w:iCs/>
          <w:sz w:val="20"/>
          <w:szCs w:val="20"/>
        </w:rPr>
        <w:t xml:space="preserve">O preço unitário a ser pago por insumo será o constante da proposta apresentada, no Pregão Presencial nº </w:t>
      </w:r>
      <w:r w:rsidR="006F067E" w:rsidRPr="00F97C30">
        <w:rPr>
          <w:rFonts w:eastAsia="Times New Roman" w:cs="Arial"/>
          <w:iCs/>
          <w:sz w:val="20"/>
          <w:szCs w:val="20"/>
        </w:rPr>
        <w:t>0</w:t>
      </w:r>
      <w:r w:rsidR="00F97C30">
        <w:rPr>
          <w:rFonts w:eastAsia="Times New Roman" w:cs="Arial"/>
          <w:iCs/>
          <w:sz w:val="20"/>
          <w:szCs w:val="20"/>
        </w:rPr>
        <w:t>33</w:t>
      </w:r>
      <w:r w:rsidRPr="00F97C30">
        <w:rPr>
          <w:rFonts w:eastAsia="Times New Roman" w:cs="Arial"/>
          <w:iCs/>
          <w:sz w:val="20"/>
          <w:szCs w:val="20"/>
        </w:rPr>
        <w:t>/201</w:t>
      </w:r>
      <w:r w:rsidR="00F97C30">
        <w:rPr>
          <w:rFonts w:eastAsia="Times New Roman" w:cs="Arial"/>
          <w:iCs/>
          <w:sz w:val="20"/>
          <w:szCs w:val="20"/>
        </w:rPr>
        <w:t>6</w:t>
      </w:r>
      <w:r w:rsidRPr="00F97C30">
        <w:rPr>
          <w:rFonts w:eastAsia="Times New Roman" w:cs="Arial"/>
          <w:iCs/>
          <w:sz w:val="20"/>
          <w:szCs w:val="20"/>
        </w:rPr>
        <w:t xml:space="preserve">, pelas empresas detentoras da presente Ata, as quais também a integram. </w:t>
      </w:r>
    </w:p>
    <w:p w:rsidR="00A95422" w:rsidRPr="00F97C30" w:rsidRDefault="00A95422" w:rsidP="00A95422">
      <w:pPr>
        <w:jc w:val="both"/>
        <w:rPr>
          <w:rFonts w:eastAsia="Times New Roman" w:cs="Arial"/>
          <w:b/>
          <w:iCs/>
          <w:sz w:val="20"/>
          <w:szCs w:val="20"/>
        </w:rPr>
      </w:pPr>
      <w:r w:rsidRPr="00F97C30">
        <w:rPr>
          <w:rFonts w:eastAsia="Times New Roman" w:cs="Arial"/>
          <w:b/>
          <w:iCs/>
          <w:sz w:val="20"/>
          <w:szCs w:val="20"/>
        </w:rPr>
        <w:t xml:space="preserve">CLÁUSULA QUARTA - DO LOCAL E DA ENTREGA </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Os insumos deverão ser entregues no ALMOXARIFADO CENTRAL, sito à Rua Rio Branco nº 02 – Centro – Niterói – RJ.</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Cumpre as empresa</w:t>
      </w:r>
      <w:r w:rsidR="006029E8">
        <w:rPr>
          <w:rFonts w:eastAsia="Times New Roman" w:cs="Arial"/>
          <w:iCs/>
          <w:sz w:val="20"/>
          <w:szCs w:val="20"/>
        </w:rPr>
        <w:t>s</w:t>
      </w:r>
      <w:r w:rsidRPr="00F97C30">
        <w:rPr>
          <w:rFonts w:eastAsia="Times New Roman" w:cs="Arial"/>
          <w:iCs/>
          <w:sz w:val="20"/>
          <w:szCs w:val="20"/>
        </w:rPr>
        <w:t xml:space="preserve">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A95422" w:rsidRDefault="00A95422" w:rsidP="00A95422">
      <w:pPr>
        <w:jc w:val="both"/>
        <w:rPr>
          <w:rFonts w:eastAsia="Times New Roman" w:cs="Arial"/>
          <w:iCs/>
          <w:sz w:val="20"/>
          <w:szCs w:val="20"/>
        </w:rPr>
      </w:pPr>
      <w:r w:rsidRPr="00F97C30">
        <w:rPr>
          <w:rFonts w:eastAsia="Times New Roman" w:cs="Arial"/>
          <w:iCs/>
          <w:sz w:val="20"/>
          <w:szCs w:val="20"/>
        </w:rPr>
        <w:t>O prazo de garantia dos insumos será de: no mínimo 12 (doze) meses contados a partir da data de entrega.</w:t>
      </w:r>
    </w:p>
    <w:p w:rsidR="00A95422" w:rsidRPr="00F97C30" w:rsidRDefault="00A95422" w:rsidP="00A95422">
      <w:pPr>
        <w:jc w:val="both"/>
        <w:rPr>
          <w:rFonts w:eastAsia="Times New Roman" w:cs="Arial"/>
          <w:b/>
          <w:iCs/>
          <w:sz w:val="20"/>
          <w:szCs w:val="20"/>
        </w:rPr>
      </w:pPr>
      <w:r w:rsidRPr="00F97C30">
        <w:rPr>
          <w:rFonts w:eastAsia="Times New Roman" w:cs="Arial"/>
          <w:b/>
          <w:iCs/>
          <w:sz w:val="20"/>
          <w:szCs w:val="20"/>
        </w:rPr>
        <w:t>CLÁUSULA QUINTA – DAS OBRIGAÇÕES DAS EMPRESAS FORNECEDORAS</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 xml:space="preserve">a) cumprir integralmente as condições estabelecidas no edital do PREGÃO nº </w:t>
      </w:r>
      <w:r w:rsidR="006F067E" w:rsidRPr="00F97C30">
        <w:rPr>
          <w:rFonts w:eastAsia="Times New Roman" w:cs="Arial"/>
          <w:iCs/>
          <w:sz w:val="20"/>
          <w:szCs w:val="20"/>
        </w:rPr>
        <w:t>0</w:t>
      </w:r>
      <w:r w:rsidR="006029E8">
        <w:rPr>
          <w:rFonts w:eastAsia="Times New Roman" w:cs="Arial"/>
          <w:iCs/>
          <w:sz w:val="20"/>
          <w:szCs w:val="20"/>
        </w:rPr>
        <w:t>33</w:t>
      </w:r>
      <w:r w:rsidRPr="00F97C30">
        <w:rPr>
          <w:rFonts w:eastAsia="Times New Roman" w:cs="Arial"/>
          <w:iCs/>
          <w:sz w:val="20"/>
          <w:szCs w:val="20"/>
        </w:rPr>
        <w:t>/201</w:t>
      </w:r>
      <w:r w:rsidR="006029E8">
        <w:rPr>
          <w:rFonts w:eastAsia="Times New Roman" w:cs="Arial"/>
          <w:iCs/>
          <w:sz w:val="20"/>
          <w:szCs w:val="20"/>
        </w:rPr>
        <w:t>6</w:t>
      </w:r>
      <w:r w:rsidRPr="00F97C30">
        <w:rPr>
          <w:rFonts w:eastAsia="Times New Roman" w:cs="Arial"/>
          <w:iCs/>
          <w:sz w:val="20"/>
          <w:szCs w:val="20"/>
        </w:rPr>
        <w:t>.</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b) manter, durante o período de vigência desta Ata, as condições de habilitação e qualificação do certame licitatório.</w:t>
      </w:r>
    </w:p>
    <w:p w:rsidR="00A95422" w:rsidRDefault="00A95422" w:rsidP="00A95422">
      <w:pPr>
        <w:jc w:val="both"/>
        <w:rPr>
          <w:rFonts w:eastAsia="Times New Roman" w:cs="Arial"/>
          <w:iCs/>
          <w:sz w:val="20"/>
          <w:szCs w:val="20"/>
        </w:rPr>
      </w:pPr>
      <w:r w:rsidRPr="00F97C30">
        <w:rPr>
          <w:rFonts w:eastAsia="Times New Roman" w:cs="Arial"/>
          <w:iCs/>
          <w:sz w:val="20"/>
          <w:szCs w:val="20"/>
        </w:rPr>
        <w:t>c) Responsabilizar-se pelos danos causados diretamente à Administração ou a terceiros, em decorrência de sua culpa ou dolo, na execução do contrato, na forma do que dispõe o art. 70 da lei 8.666/93.</w:t>
      </w:r>
    </w:p>
    <w:p w:rsidR="00A95422" w:rsidRPr="00F97C30" w:rsidRDefault="00A95422" w:rsidP="00A95422">
      <w:pPr>
        <w:jc w:val="both"/>
        <w:rPr>
          <w:rFonts w:eastAsia="Times New Roman" w:cs="Arial"/>
          <w:b/>
          <w:iCs/>
          <w:sz w:val="20"/>
          <w:szCs w:val="20"/>
        </w:rPr>
      </w:pPr>
      <w:r w:rsidRPr="00F97C30">
        <w:rPr>
          <w:rFonts w:eastAsia="Times New Roman" w:cs="Arial"/>
          <w:b/>
          <w:iCs/>
          <w:sz w:val="20"/>
          <w:szCs w:val="20"/>
        </w:rPr>
        <w:t>CLÁUSULA SEXTA - DAS OBRIGAÇÕES DO ÓRGÃO GERENCIADOR E DOS PARTICIPANTES:</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a) disponibilizar condições para o recebimento dos insumos e tudo o mais que seja necessário.</w:t>
      </w:r>
    </w:p>
    <w:p w:rsidR="00A95422" w:rsidRDefault="00A95422" w:rsidP="00A95422">
      <w:pPr>
        <w:jc w:val="both"/>
        <w:rPr>
          <w:rFonts w:eastAsia="Times New Roman" w:cs="Arial"/>
          <w:iCs/>
          <w:sz w:val="20"/>
          <w:szCs w:val="20"/>
        </w:rPr>
      </w:pPr>
      <w:r w:rsidRPr="00F97C30">
        <w:rPr>
          <w:rFonts w:eastAsia="Times New Roman" w:cs="Arial"/>
          <w:iCs/>
          <w:sz w:val="20"/>
          <w:szCs w:val="20"/>
        </w:rPr>
        <w:t xml:space="preserve">b) efetuar os pagamentos às empresas fornecedoras, na forma estabelecida nesta Ata. </w:t>
      </w:r>
    </w:p>
    <w:p w:rsidR="00A95422" w:rsidRPr="00F97C30" w:rsidRDefault="00A95422" w:rsidP="00A95422">
      <w:pPr>
        <w:jc w:val="both"/>
        <w:rPr>
          <w:rFonts w:eastAsia="Times New Roman" w:cs="Arial"/>
          <w:b/>
          <w:iCs/>
          <w:sz w:val="20"/>
          <w:szCs w:val="20"/>
        </w:rPr>
      </w:pPr>
      <w:r w:rsidRPr="00F97C30">
        <w:rPr>
          <w:rFonts w:eastAsia="Times New Roman" w:cs="Arial"/>
          <w:b/>
          <w:iCs/>
          <w:sz w:val="20"/>
          <w:szCs w:val="20"/>
        </w:rPr>
        <w:t>CLÁUSULA SÉTIMA – DO PAGAMENTO</w:t>
      </w:r>
    </w:p>
    <w:p w:rsidR="00A95422" w:rsidRDefault="00A95422" w:rsidP="00A95422">
      <w:pPr>
        <w:jc w:val="both"/>
        <w:rPr>
          <w:rFonts w:eastAsia="Times New Roman" w:cs="Arial"/>
          <w:iCs/>
          <w:sz w:val="20"/>
          <w:szCs w:val="20"/>
        </w:rPr>
      </w:pPr>
      <w:proofErr w:type="gramStart"/>
      <w:r w:rsidRPr="00F97C30">
        <w:rPr>
          <w:rFonts w:eastAsia="Times New Roman" w:cs="Arial"/>
          <w:iCs/>
          <w:sz w:val="20"/>
          <w:szCs w:val="20"/>
        </w:rPr>
        <w:t>a)</w:t>
      </w:r>
      <w:r w:rsidRPr="00F97C30">
        <w:rPr>
          <w:rFonts w:eastAsia="Times New Roman" w:cs="Arial"/>
          <w:iCs/>
          <w:sz w:val="20"/>
          <w:szCs w:val="20"/>
        </w:rPr>
        <w:tab/>
        <w:t>Os</w:t>
      </w:r>
      <w:proofErr w:type="gramEnd"/>
      <w:r w:rsidRPr="00F97C30">
        <w:rPr>
          <w:rFonts w:eastAsia="Times New Roman" w:cs="Arial"/>
          <w:iCs/>
          <w:sz w:val="20"/>
          <w:szCs w:val="20"/>
        </w:rPr>
        <w:t xml:space="preserve"> pagamentos decorrentes do fornecimento do objeto do presente pregão, ocorrerão por conta dos recursos da seguinte dotação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947"/>
        <w:gridCol w:w="2347"/>
        <w:gridCol w:w="1266"/>
      </w:tblGrid>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SECRETARIAS</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FONTE</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PROGRAMA DE TRABALHO</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NATUREZA DESPESA</w:t>
            </w: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Secretaria Municipal de Administração - SMA</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170104.122.0001.2800</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33.90.30</w:t>
            </w: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lastRenderedPageBreak/>
              <w:t>Secretaria Executiva - SEXEC</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520104.122.0001.2790</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33.90.30</w:t>
            </w: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Vice Prefeitura - VP</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110108.125.0001.2085</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33.90.30</w:t>
            </w: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Secretaria Municipal de Indústria Naval e Petróleo e Gás - SENAV</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510104.122.0001.2801</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33.90.30</w:t>
            </w: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Secretaria Municipal de Governo - SEMUG</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150104.122.0001.2764</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33.90.30</w:t>
            </w: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Secretaria Municipal de Meio Ambiente, Recursos Hídricos e Sustentabilidade SMARHS</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20104.122.0001.2776</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33.90.30</w:t>
            </w: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Secretaria Municipal de Urbanismo e Mobilidade - SMU</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220104.122.0001.2772</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33.90.30</w:t>
            </w: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Procuradoria Geral do Município</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120104.125.0001.2098</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33.90.30</w:t>
            </w: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Secretaria Municipal de Cultura - PGM</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410104.122.0001.2775</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33.90.30</w:t>
            </w: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Secretaria Municipal de Planejamento, Modernização da Gestão e Controle - SEPLAG</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230104.122.0001.2733</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33.90.30</w:t>
            </w: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Secretaria Municipal de Conservação e Serviços Públicos - SECONSER</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260104.122.0001.2774</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33.90.30</w:t>
            </w: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Secretaria Municipal de Ordem Pública</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190106.122.0001.2767</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Secretaria Municipal de Desenvolvimento Econômico - SEOP</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520104.122.0001.2790</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33.90.30</w:t>
            </w: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Secretaria Municipal de Esporte e Lazer - SMEL</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140104.122.0001.2763</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33.90.30</w:t>
            </w:r>
          </w:p>
        </w:tc>
      </w:tr>
      <w:tr w:rsidR="001D2534" w:rsidRPr="001D2534" w:rsidTr="00187C79">
        <w:tc>
          <w:tcPr>
            <w:tcW w:w="4503"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 xml:space="preserve">Secretaria Municipal de Defesa do Consumidor - </w:t>
            </w:r>
          </w:p>
        </w:tc>
        <w:tc>
          <w:tcPr>
            <w:tcW w:w="992"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100</w:t>
            </w:r>
          </w:p>
        </w:tc>
        <w:tc>
          <w:tcPr>
            <w:tcW w:w="2410"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670123.692.0001.2810</w:t>
            </w:r>
          </w:p>
        </w:tc>
        <w:tc>
          <w:tcPr>
            <w:tcW w:w="1307" w:type="dxa"/>
            <w:shd w:val="clear" w:color="auto" w:fill="auto"/>
          </w:tcPr>
          <w:p w:rsidR="001D2534" w:rsidRPr="001D2534" w:rsidRDefault="001D2534" w:rsidP="001D2534">
            <w:pPr>
              <w:spacing w:after="0" w:line="240" w:lineRule="auto"/>
              <w:jc w:val="both"/>
              <w:rPr>
                <w:rFonts w:ascii="Calibri" w:eastAsia="Times New Roman" w:hAnsi="Calibri" w:cs="Calibri"/>
                <w:noProof/>
                <w:sz w:val="20"/>
                <w:szCs w:val="20"/>
              </w:rPr>
            </w:pPr>
            <w:r w:rsidRPr="001D2534">
              <w:rPr>
                <w:rFonts w:ascii="Calibri" w:eastAsia="Times New Roman" w:hAnsi="Calibri" w:cs="Calibri"/>
                <w:noProof/>
                <w:sz w:val="20"/>
                <w:szCs w:val="20"/>
              </w:rPr>
              <w:t>33.90.30</w:t>
            </w:r>
          </w:p>
        </w:tc>
      </w:tr>
    </w:tbl>
    <w:p w:rsidR="001D2534" w:rsidRPr="00F97C30" w:rsidRDefault="001D2534" w:rsidP="00A95422">
      <w:pPr>
        <w:jc w:val="both"/>
        <w:rPr>
          <w:rFonts w:eastAsia="Times New Roman" w:cs="Arial"/>
          <w:iCs/>
          <w:sz w:val="20"/>
          <w:szCs w:val="20"/>
        </w:rPr>
      </w:pPr>
    </w:p>
    <w:p w:rsidR="00A95422" w:rsidRPr="00F97C30" w:rsidRDefault="00A95422" w:rsidP="00A95422">
      <w:pPr>
        <w:jc w:val="both"/>
        <w:rPr>
          <w:rFonts w:eastAsia="Times New Roman" w:cs="Arial"/>
          <w:iCs/>
          <w:sz w:val="20"/>
          <w:szCs w:val="20"/>
        </w:rPr>
      </w:pPr>
      <w:proofErr w:type="gramStart"/>
      <w:r w:rsidRPr="00F97C30">
        <w:rPr>
          <w:rFonts w:eastAsia="Times New Roman" w:cs="Arial"/>
          <w:iCs/>
          <w:sz w:val="20"/>
          <w:szCs w:val="20"/>
        </w:rPr>
        <w:t>b)</w:t>
      </w:r>
      <w:r w:rsidRPr="00F97C30">
        <w:rPr>
          <w:rFonts w:eastAsia="Times New Roman" w:cs="Arial"/>
          <w:iCs/>
          <w:sz w:val="20"/>
          <w:szCs w:val="20"/>
        </w:rPr>
        <w:tab/>
        <w:t>As</w:t>
      </w:r>
      <w:proofErr w:type="gramEnd"/>
      <w:r w:rsidRPr="00F97C30">
        <w:rPr>
          <w:rFonts w:eastAsia="Times New Roman" w:cs="Arial"/>
          <w:iCs/>
          <w:sz w:val="20"/>
          <w:szCs w:val="20"/>
        </w:rPr>
        <w:t xml:space="preserve"> despesas relativas aos exercícios </w:t>
      </w:r>
      <w:proofErr w:type="spellStart"/>
      <w:r w:rsidRPr="00F97C30">
        <w:rPr>
          <w:rFonts w:eastAsia="Times New Roman" w:cs="Arial"/>
          <w:iCs/>
          <w:sz w:val="20"/>
          <w:szCs w:val="20"/>
        </w:rPr>
        <w:t>subseqüentes</w:t>
      </w:r>
      <w:proofErr w:type="spellEnd"/>
      <w:r w:rsidRPr="00F97C30">
        <w:rPr>
          <w:rFonts w:eastAsia="Times New Roman" w:cs="Arial"/>
          <w:iCs/>
          <w:sz w:val="20"/>
          <w:szCs w:val="20"/>
        </w:rPr>
        <w:t xml:space="preserve"> correrão por conta das dotações orçamentárias respectivas, devendo ser empenhadas no início de cada exercício. </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c)</w:t>
      </w:r>
      <w:r w:rsidRPr="00F97C30">
        <w:rPr>
          <w:rFonts w:eastAsia="Times New Roman" w:cs="Arial"/>
          <w:iCs/>
          <w:sz w:val="20"/>
          <w:szCs w:val="20"/>
        </w:rPr>
        <w:tab/>
        <w:t xml:space="preserve">O pagamento será efetuado no prazo máximo de 30 (trinta) dias úteis, em parcela única ou parcelado, conforme cronograma de execução do contrato, </w:t>
      </w:r>
      <w:r w:rsidR="00844AE6">
        <w:rPr>
          <w:rFonts w:eastAsia="Times New Roman" w:cs="Arial"/>
          <w:iCs/>
          <w:sz w:val="20"/>
          <w:szCs w:val="20"/>
        </w:rPr>
        <w:t xml:space="preserve">mediante credito em conta </w:t>
      </w:r>
      <w:r w:rsidRPr="00F97C30">
        <w:rPr>
          <w:rFonts w:eastAsia="Times New Roman" w:cs="Arial"/>
          <w:iCs/>
          <w:sz w:val="20"/>
          <w:szCs w:val="20"/>
        </w:rPr>
        <w:t>corrente da contratada, em instituição financeira contratada pelo CONTRATANTE, contados do primeiro dia útil do envio via fax ou e-mail do respectivo Certificado de Aceitação referente ao recebimento definitivo.</w:t>
      </w:r>
    </w:p>
    <w:p w:rsidR="00A95422" w:rsidRPr="00F97C30" w:rsidRDefault="00A95422" w:rsidP="00A95422">
      <w:pPr>
        <w:jc w:val="both"/>
        <w:rPr>
          <w:rFonts w:eastAsia="Times New Roman" w:cs="Arial"/>
          <w:iCs/>
          <w:sz w:val="20"/>
          <w:szCs w:val="20"/>
        </w:rPr>
      </w:pPr>
      <w:proofErr w:type="gramStart"/>
      <w:r w:rsidRPr="00F97C30">
        <w:rPr>
          <w:rFonts w:eastAsia="Times New Roman" w:cs="Arial"/>
          <w:iCs/>
          <w:sz w:val="20"/>
          <w:szCs w:val="20"/>
        </w:rPr>
        <w:t>d)</w:t>
      </w:r>
      <w:r w:rsidRPr="00F97C30">
        <w:rPr>
          <w:rFonts w:eastAsia="Times New Roman" w:cs="Arial"/>
          <w:iCs/>
          <w:sz w:val="20"/>
          <w:szCs w:val="20"/>
        </w:rPr>
        <w:tab/>
        <w:t>No</w:t>
      </w:r>
      <w:proofErr w:type="gramEnd"/>
      <w:r w:rsidRPr="00F97C30">
        <w:rPr>
          <w:rFonts w:eastAsia="Times New Roman" w:cs="Arial"/>
          <w:iCs/>
          <w:sz w:val="20"/>
          <w:szCs w:val="20"/>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 xml:space="preserve">e) </w:t>
      </w:r>
      <w:proofErr w:type="gramStart"/>
      <w:r w:rsidRPr="00F97C30">
        <w:rPr>
          <w:rFonts w:eastAsia="Times New Roman" w:cs="Arial"/>
          <w:iCs/>
          <w:sz w:val="20"/>
          <w:szCs w:val="20"/>
        </w:rPr>
        <w:t xml:space="preserve"> As</w:t>
      </w:r>
      <w:proofErr w:type="gramEnd"/>
      <w:r w:rsidRPr="00F97C30">
        <w:rPr>
          <w:rFonts w:eastAsia="Times New Roman" w:cs="Arial"/>
          <w:iCs/>
          <w:sz w:val="20"/>
          <w:szCs w:val="20"/>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F97C30">
        <w:rPr>
          <w:rFonts w:eastAsia="Times New Roman" w:cs="Arial"/>
          <w:iCs/>
          <w:sz w:val="20"/>
          <w:szCs w:val="20"/>
        </w:rPr>
        <w:t>WebISSr</w:t>
      </w:r>
      <w:proofErr w:type="spellEnd"/>
      <w:r w:rsidRPr="00F97C30">
        <w:rPr>
          <w:rFonts w:eastAsia="Times New Roman" w:cs="Arial"/>
          <w:iCs/>
          <w:sz w:val="20"/>
          <w:szCs w:val="20"/>
        </w:rPr>
        <w:t>, basta clicar no ´ícone abaixo ou através do endereço www.webiss.com.br/</w:t>
      </w:r>
      <w:proofErr w:type="spellStart"/>
      <w:r w:rsidRPr="00F97C30">
        <w:rPr>
          <w:rFonts w:eastAsia="Times New Roman" w:cs="Arial"/>
          <w:iCs/>
          <w:sz w:val="20"/>
          <w:szCs w:val="20"/>
        </w:rPr>
        <w:t>rjniteroi</w:t>
      </w:r>
      <w:proofErr w:type="spellEnd"/>
      <w:r w:rsidRPr="00F97C30">
        <w:rPr>
          <w:rFonts w:eastAsia="Times New Roman" w:cs="Arial"/>
          <w:iCs/>
          <w:sz w:val="20"/>
          <w:szCs w:val="20"/>
        </w:rPr>
        <w:t>, devendo constar na Nota Fiscal o mesmo CNPJ da Proposta de Preço, pois a divergência impossibilitará a apropriação e o pagamento.</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lastRenderedPageBreak/>
        <w:t xml:space="preserve"> g) </w:t>
      </w:r>
      <w:proofErr w:type="gramStart"/>
      <w:r w:rsidRPr="00F97C30">
        <w:rPr>
          <w:rFonts w:eastAsia="Times New Roman" w:cs="Arial"/>
          <w:iCs/>
          <w:sz w:val="20"/>
          <w:szCs w:val="20"/>
        </w:rPr>
        <w:t xml:space="preserve"> Nenhum</w:t>
      </w:r>
      <w:proofErr w:type="gramEnd"/>
      <w:r w:rsidRPr="00F97C30">
        <w:rPr>
          <w:rFonts w:eastAsia="Times New Roman" w:cs="Arial"/>
          <w:iCs/>
          <w:sz w:val="20"/>
          <w:szCs w:val="20"/>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 xml:space="preserve">h)    </w:t>
      </w:r>
      <w:proofErr w:type="gramStart"/>
      <w:r w:rsidRPr="00F97C30">
        <w:rPr>
          <w:rFonts w:eastAsia="Times New Roman" w:cs="Arial"/>
          <w:iCs/>
          <w:sz w:val="20"/>
          <w:szCs w:val="20"/>
        </w:rPr>
        <w:t>A(</w:t>
      </w:r>
      <w:proofErr w:type="gramEnd"/>
      <w:r w:rsidRPr="00F97C30">
        <w:rPr>
          <w:rFonts w:eastAsia="Times New Roman" w:cs="Arial"/>
          <w:iCs/>
          <w:sz w:val="20"/>
          <w:szCs w:val="20"/>
        </w:rPr>
        <w:t>s) Nota(s) Fiscal(</w:t>
      </w:r>
      <w:proofErr w:type="spellStart"/>
      <w:r w:rsidRPr="00F97C30">
        <w:rPr>
          <w:rFonts w:eastAsia="Times New Roman" w:cs="Arial"/>
          <w:iCs/>
          <w:sz w:val="20"/>
          <w:szCs w:val="20"/>
        </w:rPr>
        <w:t>is</w:t>
      </w:r>
      <w:proofErr w:type="spellEnd"/>
      <w:r w:rsidRPr="00F97C30">
        <w:rPr>
          <w:rFonts w:eastAsia="Times New Roman" w:cs="Arial"/>
          <w:iCs/>
          <w:sz w:val="20"/>
          <w:szCs w:val="20"/>
        </w:rPr>
        <w:t>) deverá(</w:t>
      </w:r>
      <w:proofErr w:type="spellStart"/>
      <w:r w:rsidRPr="00F97C30">
        <w:rPr>
          <w:rFonts w:eastAsia="Times New Roman" w:cs="Arial"/>
          <w:iCs/>
          <w:sz w:val="20"/>
          <w:szCs w:val="20"/>
        </w:rPr>
        <w:t>ão</w:t>
      </w:r>
      <w:proofErr w:type="spellEnd"/>
      <w:r w:rsidRPr="00F97C30">
        <w:rPr>
          <w:rFonts w:eastAsia="Times New Roman" w:cs="Arial"/>
          <w:iCs/>
          <w:sz w:val="20"/>
          <w:szCs w:val="20"/>
        </w:rPr>
        <w:t xml:space="preserve">) ser emitida(s) em favor do Município de Niterói, CNPJ: 28.521.748/0001-59, Inscrição Estadual:  Isento, endereço:   Rua Visconde de </w:t>
      </w:r>
      <w:proofErr w:type="spellStart"/>
      <w:r w:rsidRPr="00F97C30">
        <w:rPr>
          <w:rFonts w:eastAsia="Times New Roman" w:cs="Arial"/>
          <w:iCs/>
          <w:sz w:val="20"/>
          <w:szCs w:val="20"/>
        </w:rPr>
        <w:t>Sepetiba</w:t>
      </w:r>
      <w:proofErr w:type="spellEnd"/>
      <w:r w:rsidRPr="00F97C30">
        <w:rPr>
          <w:rFonts w:eastAsia="Times New Roman" w:cs="Arial"/>
          <w:iCs/>
          <w:sz w:val="20"/>
          <w:szCs w:val="20"/>
        </w:rPr>
        <w:t>, 987/5º andar, Centro – Niterói-RJ. Telefone: (21) 2620-0403.</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 xml:space="preserve">i) </w:t>
      </w:r>
      <w:proofErr w:type="gramStart"/>
      <w:r w:rsidRPr="00F97C30">
        <w:rPr>
          <w:rFonts w:eastAsia="Times New Roman" w:cs="Arial"/>
          <w:iCs/>
          <w:sz w:val="20"/>
          <w:szCs w:val="20"/>
        </w:rPr>
        <w:t xml:space="preserve"> No</w:t>
      </w:r>
      <w:proofErr w:type="gramEnd"/>
      <w:r w:rsidRPr="00F97C30">
        <w:rPr>
          <w:rFonts w:eastAsia="Times New Roman" w:cs="Arial"/>
          <w:iCs/>
          <w:sz w:val="20"/>
          <w:szCs w:val="20"/>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 xml:space="preserve">k) </w:t>
      </w:r>
      <w:proofErr w:type="gramStart"/>
      <w:r w:rsidRPr="00F97C30">
        <w:rPr>
          <w:rFonts w:eastAsia="Times New Roman" w:cs="Arial"/>
          <w:iCs/>
          <w:sz w:val="20"/>
          <w:szCs w:val="20"/>
        </w:rPr>
        <w:t xml:space="preserve">  Já</w:t>
      </w:r>
      <w:proofErr w:type="gramEnd"/>
      <w:r w:rsidRPr="00F97C30">
        <w:rPr>
          <w:rFonts w:eastAsia="Times New Roman" w:cs="Arial"/>
          <w:iCs/>
          <w:sz w:val="20"/>
          <w:szCs w:val="20"/>
        </w:rPr>
        <w:t xml:space="preserve"> estarão retido na fonte os impostos: IR, PIS, COFINS, CSLL, consoante as Instruções Normativas SRF nº 480/04 da Secretaria da Receita Federal e suas alterações.</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l)   Caso se faça necessária a reapresentação de qualquer nota fiscal por culpa da LICITANTE VENCEDORA, o prazo de 30 (trinta) dias para pagamento ficará suspenso, prosseguindo a sua contagem a partir da data da respectiva representação.</w:t>
      </w:r>
    </w:p>
    <w:p w:rsidR="00A95422" w:rsidRDefault="00A95422" w:rsidP="00A95422">
      <w:pPr>
        <w:jc w:val="both"/>
        <w:rPr>
          <w:rFonts w:eastAsia="Times New Roman" w:cs="Arial"/>
          <w:iCs/>
          <w:sz w:val="20"/>
          <w:szCs w:val="20"/>
        </w:rPr>
      </w:pPr>
      <w:r w:rsidRPr="00F97C30">
        <w:rPr>
          <w:rFonts w:eastAsia="Times New Roman" w:cs="Arial"/>
          <w:iCs/>
          <w:sz w:val="20"/>
          <w:szCs w:val="20"/>
        </w:rPr>
        <w:t xml:space="preserve">m) </w:t>
      </w:r>
      <w:proofErr w:type="gramStart"/>
      <w:r w:rsidRPr="00F97C30">
        <w:rPr>
          <w:rFonts w:eastAsia="Times New Roman" w:cs="Arial"/>
          <w:iCs/>
          <w:sz w:val="20"/>
          <w:szCs w:val="20"/>
        </w:rPr>
        <w:t xml:space="preserve"> Os</w:t>
      </w:r>
      <w:proofErr w:type="gramEnd"/>
      <w:r w:rsidRPr="00F97C30">
        <w:rPr>
          <w:rFonts w:eastAsia="Times New Roman" w:cs="Arial"/>
          <w:iCs/>
          <w:sz w:val="20"/>
          <w:szCs w:val="20"/>
        </w:rPr>
        <w:t xml:space="preserve">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A95422" w:rsidRPr="00F97C30" w:rsidRDefault="00A95422" w:rsidP="00A95422">
      <w:pPr>
        <w:jc w:val="both"/>
        <w:rPr>
          <w:rFonts w:eastAsia="Times New Roman" w:cs="Arial"/>
          <w:b/>
          <w:iCs/>
          <w:sz w:val="20"/>
          <w:szCs w:val="20"/>
        </w:rPr>
      </w:pPr>
      <w:r w:rsidRPr="00F97C30">
        <w:rPr>
          <w:rFonts w:eastAsia="Times New Roman" w:cs="Arial"/>
          <w:b/>
          <w:iCs/>
          <w:sz w:val="20"/>
          <w:szCs w:val="20"/>
        </w:rPr>
        <w:t xml:space="preserve">CLÁUSULA OITAVA - DAS CONDIÇÕES DE FORNECIMENTO </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 xml:space="preserve">A entrega dos insumos estará condicionada ao disposto no item DO PRAZO DA ENTREGA do edital do PREGÃO nº </w:t>
      </w:r>
      <w:r w:rsidR="006F067E" w:rsidRPr="00F97C30">
        <w:rPr>
          <w:rFonts w:eastAsia="Times New Roman" w:cs="Arial"/>
          <w:iCs/>
          <w:sz w:val="20"/>
          <w:szCs w:val="20"/>
        </w:rPr>
        <w:t>0</w:t>
      </w:r>
      <w:r w:rsidR="001D2534">
        <w:rPr>
          <w:rFonts w:eastAsia="Times New Roman" w:cs="Arial"/>
          <w:iCs/>
          <w:sz w:val="20"/>
          <w:szCs w:val="20"/>
        </w:rPr>
        <w:t>33</w:t>
      </w:r>
      <w:r w:rsidRPr="00F97C30">
        <w:rPr>
          <w:rFonts w:eastAsia="Times New Roman" w:cs="Arial"/>
          <w:iCs/>
          <w:sz w:val="20"/>
          <w:szCs w:val="20"/>
        </w:rPr>
        <w:t>/201</w:t>
      </w:r>
      <w:r w:rsidR="001D2534">
        <w:rPr>
          <w:rFonts w:eastAsia="Times New Roman" w:cs="Arial"/>
          <w:iCs/>
          <w:sz w:val="20"/>
          <w:szCs w:val="20"/>
        </w:rPr>
        <w:t>6</w:t>
      </w:r>
      <w:r w:rsidRPr="00F97C30">
        <w:rPr>
          <w:rFonts w:eastAsia="Times New Roman" w:cs="Arial"/>
          <w:iCs/>
          <w:sz w:val="20"/>
          <w:szCs w:val="20"/>
        </w:rPr>
        <w:t>.</w:t>
      </w:r>
    </w:p>
    <w:p w:rsidR="00A95422" w:rsidRPr="00F97C30" w:rsidRDefault="00A95422" w:rsidP="00A95422">
      <w:pPr>
        <w:jc w:val="both"/>
        <w:rPr>
          <w:rFonts w:eastAsia="Times New Roman" w:cs="Arial"/>
          <w:b/>
          <w:iCs/>
          <w:sz w:val="20"/>
          <w:szCs w:val="20"/>
        </w:rPr>
      </w:pPr>
      <w:r w:rsidRPr="00F97C30">
        <w:rPr>
          <w:rFonts w:eastAsia="Times New Roman" w:cs="Arial"/>
          <w:b/>
          <w:iCs/>
          <w:sz w:val="20"/>
          <w:szCs w:val="20"/>
        </w:rPr>
        <w:t xml:space="preserve">CLÁUSULA NONA - DAS PENALIDADES </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Os adjudicatários inadimplentes estarão sujeitos às penalidades previstas no art.87 da Lei Federal nº 8666/93, Decreto Municipal nº 9614/05 e da Lei Municipal 1.494 de 27/3/96, assegurado o contraditório e a ampla defesa.</w:t>
      </w:r>
    </w:p>
    <w:p w:rsidR="00A95422" w:rsidRPr="00F97C30" w:rsidRDefault="00A95422" w:rsidP="00A95422">
      <w:pPr>
        <w:jc w:val="both"/>
        <w:rPr>
          <w:rFonts w:eastAsia="Times New Roman" w:cs="Arial"/>
          <w:b/>
          <w:iCs/>
          <w:sz w:val="20"/>
          <w:szCs w:val="20"/>
        </w:rPr>
      </w:pPr>
      <w:r w:rsidRPr="00F97C30">
        <w:rPr>
          <w:rFonts w:eastAsia="Times New Roman" w:cs="Arial"/>
          <w:b/>
          <w:iCs/>
          <w:sz w:val="20"/>
          <w:szCs w:val="20"/>
        </w:rPr>
        <w:t>CLÁUSULA DÉCIMA - DA ALTERAÇÃO DE PREÇOS</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Durante a vigência desta Ata de Registro de Preços, os preços registrados serão fixos e irreajustáveis, exceto nas hipóteses previstas no art. 12 do Decreto Municipal nº 10005/06.</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A Ata de Registro de Preços poderá sofrer alterações, obedecidas as disposições contidas no art. 65 da Lei 8666/93.</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lastRenderedPageBreak/>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 xml:space="preserve">Quando o preço de mercado </w:t>
      </w:r>
      <w:r w:rsidR="00844AE6" w:rsidRPr="00F97C30">
        <w:rPr>
          <w:rFonts w:eastAsia="Times New Roman" w:cs="Arial"/>
          <w:iCs/>
          <w:sz w:val="20"/>
          <w:szCs w:val="20"/>
        </w:rPr>
        <w:t>se tornar</w:t>
      </w:r>
      <w:r w:rsidRPr="00F97C30">
        <w:rPr>
          <w:rFonts w:eastAsia="Times New Roman" w:cs="Arial"/>
          <w:iCs/>
          <w:sz w:val="20"/>
          <w:szCs w:val="20"/>
        </w:rPr>
        <w:t xml:space="preserv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Não havendo êxito nas negociações, o Órgão Gerenciador deverá proceder à revogação da Ata de Registro de Preços, adotando as medidas cabíveis para obtenção da contratação mais vantajosa.</w:t>
      </w:r>
    </w:p>
    <w:p w:rsidR="00A95422" w:rsidRPr="00F97C30" w:rsidRDefault="00A95422" w:rsidP="00A95422">
      <w:pPr>
        <w:jc w:val="both"/>
        <w:rPr>
          <w:rFonts w:eastAsia="Times New Roman" w:cs="Arial"/>
          <w:b/>
          <w:iCs/>
          <w:sz w:val="20"/>
          <w:szCs w:val="20"/>
        </w:rPr>
      </w:pPr>
      <w:r w:rsidRPr="00F97C30">
        <w:rPr>
          <w:rFonts w:eastAsia="Times New Roman" w:cs="Arial"/>
          <w:b/>
          <w:iCs/>
          <w:sz w:val="20"/>
          <w:szCs w:val="20"/>
        </w:rPr>
        <w:t>CLÁUSULA DÉCIMA PRIMEIRA - DA PUBLICAÇÃO</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A publicação dos preços registrados será efetuada no Diário Oficial do Município, trimestralmente, em cumprimento ao disposto no art. 15, § 2º da Lei 8666/93.</w:t>
      </w:r>
    </w:p>
    <w:p w:rsidR="00A95422" w:rsidRPr="00F97C30" w:rsidRDefault="00A95422" w:rsidP="00A95422">
      <w:pPr>
        <w:jc w:val="both"/>
        <w:rPr>
          <w:rFonts w:eastAsia="Times New Roman" w:cs="Arial"/>
          <w:b/>
          <w:iCs/>
          <w:sz w:val="20"/>
          <w:szCs w:val="20"/>
        </w:rPr>
      </w:pPr>
      <w:r w:rsidRPr="00F97C30">
        <w:rPr>
          <w:rFonts w:eastAsia="Times New Roman" w:cs="Arial"/>
          <w:b/>
          <w:iCs/>
          <w:sz w:val="20"/>
          <w:szCs w:val="20"/>
        </w:rPr>
        <w:t>CLÁUSULA DÉCIMA SEGUNDA –DO FORO</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Fica eleito desde já o foro da Justiça da Comarca de Niterói para dirimir questões oriundas desta Ata, renunciando as partes a qualquer outro por privilegiado que seja.</w:t>
      </w:r>
    </w:p>
    <w:p w:rsidR="00A95422" w:rsidRPr="00F97C30" w:rsidRDefault="00A95422" w:rsidP="00A95422">
      <w:pPr>
        <w:jc w:val="both"/>
        <w:rPr>
          <w:rFonts w:eastAsia="Times New Roman" w:cs="Arial"/>
          <w:b/>
          <w:iCs/>
          <w:sz w:val="20"/>
          <w:szCs w:val="20"/>
        </w:rPr>
      </w:pPr>
      <w:r w:rsidRPr="00F97C30">
        <w:rPr>
          <w:rFonts w:eastAsia="Times New Roman" w:cs="Arial"/>
          <w:b/>
          <w:iCs/>
          <w:sz w:val="20"/>
          <w:szCs w:val="20"/>
        </w:rPr>
        <w:t xml:space="preserve">CLÁUSULA DÉCIMA TERCEIRA - DAS DISPOSIÇÕES FINAIS </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 xml:space="preserve">Integram esta Ata, o Edital do Pregão Presencial nº </w:t>
      </w:r>
      <w:r w:rsidR="006F067E" w:rsidRPr="00F97C30">
        <w:rPr>
          <w:rFonts w:eastAsia="Times New Roman" w:cs="Arial"/>
          <w:iCs/>
          <w:sz w:val="20"/>
          <w:szCs w:val="20"/>
        </w:rPr>
        <w:t>0</w:t>
      </w:r>
      <w:r w:rsidR="001D2534">
        <w:rPr>
          <w:rFonts w:eastAsia="Times New Roman" w:cs="Arial"/>
          <w:iCs/>
          <w:sz w:val="20"/>
          <w:szCs w:val="20"/>
        </w:rPr>
        <w:t>33</w:t>
      </w:r>
      <w:r w:rsidRPr="00F97C30">
        <w:rPr>
          <w:rFonts w:eastAsia="Times New Roman" w:cs="Arial"/>
          <w:iCs/>
          <w:sz w:val="20"/>
          <w:szCs w:val="20"/>
        </w:rPr>
        <w:t>/201</w:t>
      </w:r>
      <w:r w:rsidR="001D2534">
        <w:rPr>
          <w:rFonts w:eastAsia="Times New Roman" w:cs="Arial"/>
          <w:iCs/>
          <w:sz w:val="20"/>
          <w:szCs w:val="20"/>
        </w:rPr>
        <w:t>6</w:t>
      </w:r>
      <w:r w:rsidRPr="00F97C30">
        <w:rPr>
          <w:rFonts w:eastAsia="Times New Roman" w:cs="Arial"/>
          <w:iCs/>
          <w:sz w:val="20"/>
          <w:szCs w:val="20"/>
        </w:rPr>
        <w:t xml:space="preserve"> e as propostas das empresas constantes do anexo V.  </w:t>
      </w:r>
    </w:p>
    <w:p w:rsidR="00A95422" w:rsidRPr="00F97C30" w:rsidRDefault="00A95422" w:rsidP="00A95422">
      <w:pPr>
        <w:jc w:val="both"/>
        <w:rPr>
          <w:rFonts w:eastAsia="Times New Roman" w:cs="Arial"/>
          <w:iCs/>
          <w:sz w:val="20"/>
          <w:szCs w:val="20"/>
        </w:rPr>
      </w:pPr>
      <w:r w:rsidRPr="00F97C30">
        <w:rPr>
          <w:rFonts w:eastAsia="Times New Roman" w:cs="Arial"/>
          <w:iCs/>
          <w:sz w:val="20"/>
          <w:szCs w:val="20"/>
        </w:rPr>
        <w:t>Os casos omissos serão resolvidos com observância das disposições constantes na Lei 8666/93, decretos Municipais nº 9614/05 e 10005/06.</w:t>
      </w:r>
    </w:p>
    <w:p w:rsidR="00A95422" w:rsidRDefault="006F067E" w:rsidP="009B49ED">
      <w:pPr>
        <w:jc w:val="center"/>
        <w:rPr>
          <w:rFonts w:eastAsia="Times New Roman" w:cs="Arial"/>
          <w:b/>
          <w:iCs/>
          <w:sz w:val="20"/>
          <w:szCs w:val="20"/>
          <w:u w:val="single"/>
        </w:rPr>
      </w:pPr>
      <w:r w:rsidRPr="00F97C30">
        <w:rPr>
          <w:rFonts w:eastAsia="Times New Roman" w:cs="Arial"/>
          <w:b/>
          <w:iCs/>
          <w:sz w:val="20"/>
          <w:szCs w:val="20"/>
          <w:u w:val="single"/>
        </w:rPr>
        <w:t>EMPRESA VENCEDORA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003"/>
        <w:gridCol w:w="954"/>
        <w:gridCol w:w="1388"/>
        <w:gridCol w:w="1388"/>
        <w:gridCol w:w="1054"/>
        <w:gridCol w:w="1031"/>
      </w:tblGrid>
      <w:tr w:rsidR="00450150" w:rsidRPr="00F97C30" w:rsidTr="002009CE">
        <w:trPr>
          <w:trHeight w:val="320"/>
        </w:trPr>
        <w:tc>
          <w:tcPr>
            <w:tcW w:w="9214" w:type="dxa"/>
            <w:gridSpan w:val="7"/>
            <w:shd w:val="clear" w:color="auto" w:fill="D6E3BC"/>
          </w:tcPr>
          <w:p w:rsidR="00450150" w:rsidRPr="00F97C30" w:rsidRDefault="00450150" w:rsidP="00187C79">
            <w:pPr>
              <w:jc w:val="both"/>
              <w:rPr>
                <w:rFonts w:cs="Arial"/>
                <w:b/>
                <w:bCs/>
                <w:sz w:val="20"/>
                <w:szCs w:val="20"/>
              </w:rPr>
            </w:pPr>
            <w:r w:rsidRPr="00F97C30">
              <w:rPr>
                <w:rFonts w:cs="Arial"/>
                <w:b/>
                <w:bCs/>
                <w:sz w:val="20"/>
                <w:szCs w:val="20"/>
              </w:rPr>
              <w:t>EMPRESA: C. TEIXEIRA 110 COMÉRCIO DE ALIMENTOS LTDA</w:t>
            </w:r>
            <w:r w:rsidR="00FC44CC">
              <w:rPr>
                <w:rFonts w:cs="Arial"/>
                <w:b/>
                <w:bCs/>
                <w:sz w:val="20"/>
                <w:szCs w:val="20"/>
              </w:rPr>
              <w:t xml:space="preserve"> - ME</w:t>
            </w:r>
          </w:p>
        </w:tc>
      </w:tr>
      <w:tr w:rsidR="00450150" w:rsidRPr="00F97C30" w:rsidTr="002009CE">
        <w:tc>
          <w:tcPr>
            <w:tcW w:w="9214" w:type="dxa"/>
            <w:gridSpan w:val="7"/>
            <w:shd w:val="clear" w:color="auto" w:fill="D6E3BC"/>
          </w:tcPr>
          <w:p w:rsidR="00450150" w:rsidRPr="00F97C30" w:rsidRDefault="00450150" w:rsidP="00187C79">
            <w:pPr>
              <w:jc w:val="both"/>
              <w:rPr>
                <w:rFonts w:cs="Arial"/>
                <w:b/>
                <w:bCs/>
                <w:sz w:val="20"/>
                <w:szCs w:val="20"/>
              </w:rPr>
            </w:pPr>
            <w:r w:rsidRPr="00F97C30">
              <w:rPr>
                <w:rFonts w:cs="Arial"/>
                <w:b/>
                <w:bCs/>
                <w:sz w:val="20"/>
                <w:szCs w:val="20"/>
              </w:rPr>
              <w:t>CNPJ: 03.279.529/0001-84</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ITEM 01</w:t>
            </w:r>
          </w:p>
        </w:tc>
        <w:tc>
          <w:tcPr>
            <w:tcW w:w="1003" w:type="dxa"/>
          </w:tcPr>
          <w:p w:rsidR="002009CE" w:rsidRPr="002009CE" w:rsidRDefault="002009CE" w:rsidP="002009CE">
            <w:pPr>
              <w:spacing w:after="0" w:line="240" w:lineRule="auto"/>
              <w:rPr>
                <w:rFonts w:ascii="Calibri" w:eastAsia="Times New Roman" w:hAnsi="Calibri" w:cs="Calibri"/>
                <w:b/>
                <w:sz w:val="20"/>
                <w:szCs w:val="20"/>
              </w:rPr>
            </w:pPr>
          </w:p>
        </w:tc>
        <w:tc>
          <w:tcPr>
            <w:tcW w:w="1008" w:type="dxa"/>
          </w:tcPr>
          <w:p w:rsidR="002009CE" w:rsidRPr="002009CE" w:rsidRDefault="002009CE" w:rsidP="002009CE">
            <w:pPr>
              <w:spacing w:after="0" w:line="240" w:lineRule="auto"/>
              <w:rPr>
                <w:rFonts w:ascii="Calibri" w:eastAsia="Times New Roman" w:hAnsi="Calibri" w:cs="Calibri"/>
                <w:b/>
                <w:sz w:val="20"/>
                <w:szCs w:val="20"/>
              </w:rPr>
            </w:pPr>
          </w:p>
        </w:tc>
        <w:tc>
          <w:tcPr>
            <w:tcW w:w="1416" w:type="dxa"/>
          </w:tcPr>
          <w:p w:rsidR="002009CE" w:rsidRPr="002009CE" w:rsidRDefault="002009CE" w:rsidP="002009CE">
            <w:pPr>
              <w:spacing w:after="0" w:line="240" w:lineRule="auto"/>
              <w:rPr>
                <w:rFonts w:ascii="Calibri" w:eastAsia="Times New Roman" w:hAnsi="Calibri" w:cs="Calibri"/>
                <w:b/>
                <w:sz w:val="20"/>
                <w:szCs w:val="20"/>
              </w:rPr>
            </w:pPr>
          </w:p>
        </w:tc>
        <w:tc>
          <w:tcPr>
            <w:tcW w:w="1417" w:type="dxa"/>
            <w:shd w:val="clear" w:color="auto" w:fill="BFBFBF"/>
          </w:tcPr>
          <w:p w:rsidR="002009CE" w:rsidRPr="002009CE" w:rsidRDefault="002009CE" w:rsidP="002009CE">
            <w:pPr>
              <w:spacing w:after="0" w:line="240" w:lineRule="auto"/>
              <w:rPr>
                <w:rFonts w:ascii="Calibri" w:eastAsia="Times New Roman" w:hAnsi="Calibri" w:cs="Calibri"/>
                <w:b/>
                <w:sz w:val="20"/>
                <w:szCs w:val="20"/>
              </w:rPr>
            </w:pPr>
          </w:p>
        </w:tc>
        <w:tc>
          <w:tcPr>
            <w:tcW w:w="1054" w:type="dxa"/>
            <w:shd w:val="clear" w:color="auto" w:fill="BFBFBF"/>
          </w:tcPr>
          <w:p w:rsidR="002009CE" w:rsidRPr="002009CE" w:rsidRDefault="002009CE" w:rsidP="002009CE">
            <w:pPr>
              <w:spacing w:after="0" w:line="240" w:lineRule="auto"/>
              <w:rPr>
                <w:rFonts w:ascii="Calibri" w:eastAsia="Times New Roman" w:hAnsi="Calibri" w:cs="Calibri"/>
                <w:b/>
                <w:sz w:val="20"/>
                <w:szCs w:val="20"/>
              </w:rPr>
            </w:pPr>
          </w:p>
        </w:tc>
        <w:tc>
          <w:tcPr>
            <w:tcW w:w="392" w:type="dxa"/>
            <w:shd w:val="clear" w:color="auto" w:fill="BFBFBF"/>
          </w:tcPr>
          <w:p w:rsidR="002009CE" w:rsidRPr="002009CE" w:rsidRDefault="002009CE" w:rsidP="002009CE">
            <w:pPr>
              <w:spacing w:after="0" w:line="240" w:lineRule="auto"/>
              <w:rPr>
                <w:rFonts w:ascii="Calibri" w:eastAsia="Times New Roman" w:hAnsi="Calibri" w:cs="Calibri"/>
                <w:b/>
                <w:sz w:val="20"/>
                <w:szCs w:val="20"/>
              </w:rPr>
            </w:pPr>
          </w:p>
        </w:tc>
      </w:tr>
      <w:tr w:rsidR="002009CE" w:rsidRPr="002009CE" w:rsidTr="002009CE">
        <w:tc>
          <w:tcPr>
            <w:tcW w:w="2924" w:type="dxa"/>
          </w:tcPr>
          <w:p w:rsidR="002009CE" w:rsidRPr="002009CE" w:rsidRDefault="002009CE" w:rsidP="002009CE">
            <w:pPr>
              <w:spacing w:after="0" w:line="240" w:lineRule="auto"/>
              <w:jc w:val="both"/>
              <w:rPr>
                <w:rFonts w:ascii="Calibri" w:eastAsia="Times New Roman" w:hAnsi="Calibri" w:cs="Calibri"/>
                <w:b/>
                <w:sz w:val="20"/>
                <w:szCs w:val="20"/>
              </w:rPr>
            </w:pPr>
            <w:r w:rsidRPr="002009CE">
              <w:rPr>
                <w:rFonts w:ascii="Calibri" w:eastAsia="Times New Roman" w:hAnsi="Calibri" w:cs="Calibri"/>
                <w:b/>
                <w:sz w:val="20"/>
                <w:szCs w:val="20"/>
              </w:rPr>
              <w:t xml:space="preserve">CAFÉ em pó homogêneo, torrado e moído, categoria tradicional, com selo de pureza expedido pela ABIC (participantes deverão comprová-la com a apresentação do Certificado de autorização </w:t>
            </w:r>
            <w:r w:rsidRPr="002009CE">
              <w:rPr>
                <w:rFonts w:ascii="Calibri" w:eastAsia="Times New Roman" w:hAnsi="Calibri" w:cs="Calibri"/>
                <w:b/>
                <w:sz w:val="20"/>
                <w:szCs w:val="20"/>
              </w:rPr>
              <w:lastRenderedPageBreak/>
              <w:t>ao uso do selo de pureza ABIC com validade de 06 meses e apresentar também o Certificado de qualidade na categoria tradicional emitido pela ABIC), em embalagem almofada, metalizada, original com 500 gramas (validade mínima de seis meses a partir da entrega pelo fornecedor, com registro da data de fabricação e validade estampadas no rótulo da embalagem). PACOTES DE 500 GR.</w:t>
            </w:r>
          </w:p>
        </w:tc>
        <w:tc>
          <w:tcPr>
            <w:tcW w:w="1003"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lastRenderedPageBreak/>
              <w:t xml:space="preserve">           </w:t>
            </w:r>
          </w:p>
        </w:tc>
        <w:tc>
          <w:tcPr>
            <w:tcW w:w="1008" w:type="dxa"/>
          </w:tcPr>
          <w:p w:rsidR="002009CE" w:rsidRPr="002009CE" w:rsidRDefault="002009CE" w:rsidP="002009CE">
            <w:pPr>
              <w:spacing w:after="0" w:line="240" w:lineRule="auto"/>
              <w:rPr>
                <w:rFonts w:ascii="Calibri" w:eastAsia="Times New Roman" w:hAnsi="Calibri" w:cs="Calibri"/>
                <w:b/>
                <w:sz w:val="20"/>
                <w:szCs w:val="20"/>
              </w:rPr>
            </w:pPr>
          </w:p>
        </w:tc>
        <w:tc>
          <w:tcPr>
            <w:tcW w:w="1416"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 xml:space="preserve">       </w:t>
            </w:r>
          </w:p>
          <w:p w:rsidR="002009CE" w:rsidRPr="002009CE" w:rsidRDefault="002009CE" w:rsidP="002009CE">
            <w:pPr>
              <w:spacing w:after="0" w:line="240" w:lineRule="auto"/>
              <w:rPr>
                <w:rFonts w:ascii="Calibri" w:eastAsia="Times New Roman" w:hAnsi="Calibri" w:cs="Calibri"/>
                <w:b/>
                <w:sz w:val="20"/>
                <w:szCs w:val="20"/>
              </w:rPr>
            </w:pPr>
          </w:p>
        </w:tc>
        <w:tc>
          <w:tcPr>
            <w:tcW w:w="1417" w:type="dxa"/>
            <w:shd w:val="clear" w:color="auto" w:fill="BFBFBF"/>
          </w:tcPr>
          <w:p w:rsidR="002009CE" w:rsidRPr="002009CE" w:rsidRDefault="002009CE" w:rsidP="002009CE">
            <w:pPr>
              <w:spacing w:after="0" w:line="240" w:lineRule="auto"/>
              <w:rPr>
                <w:rFonts w:ascii="Calibri" w:eastAsia="Times New Roman" w:hAnsi="Calibri" w:cs="Calibri"/>
                <w:b/>
                <w:sz w:val="20"/>
                <w:szCs w:val="20"/>
              </w:rPr>
            </w:pPr>
          </w:p>
        </w:tc>
        <w:tc>
          <w:tcPr>
            <w:tcW w:w="1054" w:type="dxa"/>
            <w:shd w:val="clear" w:color="auto" w:fill="BFBFBF"/>
          </w:tcPr>
          <w:p w:rsidR="002009CE" w:rsidRPr="002009CE" w:rsidRDefault="002009CE" w:rsidP="002009CE">
            <w:pPr>
              <w:spacing w:after="0" w:line="240" w:lineRule="auto"/>
              <w:rPr>
                <w:rFonts w:ascii="Calibri" w:eastAsia="Times New Roman" w:hAnsi="Calibri" w:cs="Calibri"/>
                <w:b/>
                <w:sz w:val="20"/>
                <w:szCs w:val="20"/>
              </w:rPr>
            </w:pPr>
          </w:p>
        </w:tc>
        <w:tc>
          <w:tcPr>
            <w:tcW w:w="392" w:type="dxa"/>
            <w:shd w:val="clear" w:color="auto" w:fill="BFBFBF"/>
          </w:tcPr>
          <w:p w:rsidR="002009CE" w:rsidRPr="002009CE" w:rsidRDefault="002009CE" w:rsidP="002009CE">
            <w:pPr>
              <w:spacing w:after="0" w:line="240" w:lineRule="auto"/>
              <w:rPr>
                <w:rFonts w:ascii="Calibri" w:eastAsia="Times New Roman" w:hAnsi="Calibri" w:cs="Calibri"/>
                <w:b/>
                <w:sz w:val="20"/>
                <w:szCs w:val="20"/>
              </w:rPr>
            </w:pP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SECRETARIA</w:t>
            </w:r>
          </w:p>
        </w:tc>
        <w:tc>
          <w:tcPr>
            <w:tcW w:w="1003"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UNIDADE</w:t>
            </w:r>
          </w:p>
        </w:tc>
        <w:tc>
          <w:tcPr>
            <w:tcW w:w="1008"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MARCA</w:t>
            </w:r>
          </w:p>
        </w:tc>
        <w:tc>
          <w:tcPr>
            <w:tcW w:w="1416"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 xml:space="preserve">QUANTIDADE MÍNIMA A SER CONSUMIDA </w:t>
            </w:r>
          </w:p>
        </w:tc>
        <w:tc>
          <w:tcPr>
            <w:tcW w:w="1417"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 xml:space="preserve">QUANTIDADE MÁXIMA A SER CONSUMIDA </w:t>
            </w:r>
          </w:p>
        </w:tc>
        <w:tc>
          <w:tcPr>
            <w:tcW w:w="1054"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 xml:space="preserve">VALOR UNITÁRIO </w:t>
            </w:r>
          </w:p>
        </w:tc>
        <w:tc>
          <w:tcPr>
            <w:tcW w:w="392"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 xml:space="preserve">VALOR TOTAL </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ADMINISTRAÇÃO - SMA</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1.000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1.900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7,39</w:t>
            </w:r>
          </w:p>
        </w:tc>
        <w:tc>
          <w:tcPr>
            <w:tcW w:w="392" w:type="dxa"/>
          </w:tcPr>
          <w:p w:rsidR="002009CE" w:rsidRPr="002009CE" w:rsidRDefault="00C01FE6"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14.041,00</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EXECUTIVA - SEXEC</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2.500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3.800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7,39</w:t>
            </w:r>
          </w:p>
        </w:tc>
        <w:tc>
          <w:tcPr>
            <w:tcW w:w="392" w:type="dxa"/>
          </w:tcPr>
          <w:p w:rsidR="002009CE" w:rsidRPr="002009CE" w:rsidRDefault="006E0F64"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28.082,00</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VICE PREFEITURA - VP</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sidRPr="00C01FE6">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500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720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7,39</w:t>
            </w:r>
          </w:p>
        </w:tc>
        <w:tc>
          <w:tcPr>
            <w:tcW w:w="392" w:type="dxa"/>
          </w:tcPr>
          <w:p w:rsidR="002009CE" w:rsidRPr="002009CE" w:rsidRDefault="006E0F64"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5.320,80</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INDÚSTRIA NAVAL E PETRÓLEO E GÁS - SENAV</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sidRPr="00C01FE6">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60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100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7,39</w:t>
            </w:r>
          </w:p>
        </w:tc>
        <w:tc>
          <w:tcPr>
            <w:tcW w:w="392" w:type="dxa"/>
          </w:tcPr>
          <w:p w:rsidR="002009CE" w:rsidRPr="002009CE" w:rsidRDefault="006E0F64"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739,00</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GOVERNO - SEMUG</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sidRPr="00C01FE6">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120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150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sidRPr="00EB0BEE">
              <w:rPr>
                <w:rFonts w:ascii="Calibri" w:eastAsia="Times New Roman" w:hAnsi="Calibri" w:cs="Calibri"/>
                <w:sz w:val="20"/>
                <w:szCs w:val="20"/>
              </w:rPr>
              <w:t>7,39</w:t>
            </w:r>
          </w:p>
        </w:tc>
        <w:tc>
          <w:tcPr>
            <w:tcW w:w="392" w:type="dxa"/>
          </w:tcPr>
          <w:p w:rsidR="002009CE" w:rsidRPr="002009CE" w:rsidRDefault="006E0F64"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1.108,50</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 xml:space="preserve">SECRETARIA MUNICIPAL DO MEIO AMBIENTE, RECURSOS HÍDRICOS E SUSTENTABILIDADE - SMARHS </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sidRPr="00C01FE6">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120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150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sidRPr="00EB0BEE">
              <w:rPr>
                <w:rFonts w:ascii="Calibri" w:eastAsia="Times New Roman" w:hAnsi="Calibri" w:cs="Calibri"/>
                <w:sz w:val="20"/>
                <w:szCs w:val="20"/>
              </w:rPr>
              <w:t>7,39</w:t>
            </w:r>
          </w:p>
        </w:tc>
        <w:tc>
          <w:tcPr>
            <w:tcW w:w="392" w:type="dxa"/>
          </w:tcPr>
          <w:p w:rsidR="002009CE" w:rsidRPr="002009CE" w:rsidRDefault="006E0F64"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1.108,50</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URBANISMO E MOBILIDADE - SMU</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sidRPr="00C01FE6">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200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260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sidRPr="00EB0BEE">
              <w:rPr>
                <w:rFonts w:ascii="Calibri" w:eastAsia="Times New Roman" w:hAnsi="Calibri" w:cs="Calibri"/>
                <w:sz w:val="20"/>
                <w:szCs w:val="20"/>
              </w:rPr>
              <w:t>7,39</w:t>
            </w:r>
          </w:p>
        </w:tc>
        <w:tc>
          <w:tcPr>
            <w:tcW w:w="392" w:type="dxa"/>
          </w:tcPr>
          <w:p w:rsidR="002009CE" w:rsidRPr="002009CE" w:rsidRDefault="006E0F64"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1.921,40</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PROCURADORIA GERAL DO MUNICÍPIO - PGM</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sidRPr="00C01FE6">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350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480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sidRPr="00EB0BEE">
              <w:rPr>
                <w:rFonts w:ascii="Calibri" w:eastAsia="Times New Roman" w:hAnsi="Calibri" w:cs="Calibri"/>
                <w:sz w:val="20"/>
                <w:szCs w:val="20"/>
              </w:rPr>
              <w:t>7,39</w:t>
            </w:r>
          </w:p>
        </w:tc>
        <w:tc>
          <w:tcPr>
            <w:tcW w:w="392" w:type="dxa"/>
          </w:tcPr>
          <w:p w:rsidR="002009CE" w:rsidRPr="002009CE" w:rsidRDefault="006E0F64"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3.547,20</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CULTURA - SMC</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sidRPr="00C01FE6">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500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660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sidRPr="00EB0BEE">
              <w:rPr>
                <w:rFonts w:ascii="Calibri" w:eastAsia="Times New Roman" w:hAnsi="Calibri" w:cs="Calibri"/>
                <w:sz w:val="20"/>
                <w:szCs w:val="20"/>
              </w:rPr>
              <w:t>7,39</w:t>
            </w:r>
          </w:p>
        </w:tc>
        <w:tc>
          <w:tcPr>
            <w:tcW w:w="392" w:type="dxa"/>
          </w:tcPr>
          <w:p w:rsidR="002009CE" w:rsidRPr="002009CE" w:rsidRDefault="006E0F64"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4.877,40</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PLANEJAMENTO, MODERNIZAÇÃO DA GESTÃO E CONTROLE – SEPLAG</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sidRPr="00C01FE6">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400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500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sidRPr="00EB0BEE">
              <w:rPr>
                <w:rFonts w:ascii="Calibri" w:eastAsia="Times New Roman" w:hAnsi="Calibri" w:cs="Calibri"/>
                <w:sz w:val="20"/>
                <w:szCs w:val="20"/>
              </w:rPr>
              <w:t>7,39</w:t>
            </w:r>
          </w:p>
        </w:tc>
        <w:tc>
          <w:tcPr>
            <w:tcW w:w="392" w:type="dxa"/>
          </w:tcPr>
          <w:p w:rsidR="002009CE" w:rsidRPr="002009CE" w:rsidRDefault="006E0F64"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3.695,00</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CONSERVAÇÃO E SERVIÇOS PÚBLICOS - SECONSER</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sidRPr="00C01FE6">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1.700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2.300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sidRPr="00EB0BEE">
              <w:rPr>
                <w:rFonts w:ascii="Calibri" w:eastAsia="Times New Roman" w:hAnsi="Calibri" w:cs="Calibri"/>
                <w:sz w:val="20"/>
                <w:szCs w:val="20"/>
              </w:rPr>
              <w:t>7,39</w:t>
            </w:r>
          </w:p>
        </w:tc>
        <w:tc>
          <w:tcPr>
            <w:tcW w:w="392" w:type="dxa"/>
          </w:tcPr>
          <w:p w:rsidR="002009CE" w:rsidRPr="002009CE" w:rsidRDefault="006E0F64"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16.997,00</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lastRenderedPageBreak/>
              <w:t>SECRETARIA MUNICIPAL DE ORDEM PÚBLICA – SEOP</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sidRPr="00C01FE6">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700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1.000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sidRPr="00EB0BEE">
              <w:rPr>
                <w:rFonts w:ascii="Calibri" w:eastAsia="Times New Roman" w:hAnsi="Calibri" w:cs="Calibri"/>
                <w:sz w:val="20"/>
                <w:szCs w:val="20"/>
              </w:rPr>
              <w:t>7,39</w:t>
            </w:r>
          </w:p>
        </w:tc>
        <w:tc>
          <w:tcPr>
            <w:tcW w:w="392" w:type="dxa"/>
          </w:tcPr>
          <w:p w:rsidR="002009CE" w:rsidRPr="002009CE" w:rsidRDefault="006E0F64"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7.390,00</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DESENVOLVIMENTO ECONÔMICO - SEDEN</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sidRPr="00C01FE6">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180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sidRPr="00EB0BEE">
              <w:rPr>
                <w:rFonts w:ascii="Calibri" w:eastAsia="Times New Roman" w:hAnsi="Calibri" w:cs="Calibri"/>
                <w:sz w:val="20"/>
                <w:szCs w:val="20"/>
              </w:rPr>
              <w:t>7,39</w:t>
            </w:r>
          </w:p>
        </w:tc>
        <w:tc>
          <w:tcPr>
            <w:tcW w:w="392" w:type="dxa"/>
          </w:tcPr>
          <w:p w:rsidR="002009CE" w:rsidRPr="002009CE" w:rsidRDefault="006E0F64"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1.330,20</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ESPORTE E LAZER - SMEL</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sidRPr="00C01FE6">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120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sidRPr="00EB0BEE">
              <w:rPr>
                <w:rFonts w:ascii="Calibri" w:eastAsia="Times New Roman" w:hAnsi="Calibri" w:cs="Calibri"/>
                <w:sz w:val="20"/>
                <w:szCs w:val="20"/>
              </w:rPr>
              <w:t>7,39</w:t>
            </w:r>
          </w:p>
        </w:tc>
        <w:tc>
          <w:tcPr>
            <w:tcW w:w="392" w:type="dxa"/>
          </w:tcPr>
          <w:p w:rsidR="002009CE" w:rsidRPr="002009CE" w:rsidRDefault="006E0F64"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886,80</w:t>
            </w:r>
          </w:p>
        </w:tc>
      </w:tr>
      <w:tr w:rsidR="002009CE" w:rsidRPr="002009CE" w:rsidTr="002009CE">
        <w:tc>
          <w:tcPr>
            <w:tcW w:w="2924"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DEFESA DO CONSUMIDOR</w:t>
            </w:r>
          </w:p>
        </w:tc>
        <w:tc>
          <w:tcPr>
            <w:tcW w:w="100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Pacote</w:t>
            </w:r>
          </w:p>
        </w:tc>
        <w:tc>
          <w:tcPr>
            <w:tcW w:w="1008" w:type="dxa"/>
          </w:tcPr>
          <w:p w:rsidR="002009CE" w:rsidRPr="002009CE" w:rsidRDefault="00C01FE6" w:rsidP="002009CE">
            <w:pPr>
              <w:spacing w:after="0" w:line="240" w:lineRule="auto"/>
              <w:jc w:val="center"/>
              <w:rPr>
                <w:rFonts w:ascii="Calibri" w:eastAsia="Times New Roman" w:hAnsi="Calibri" w:cs="Calibri"/>
                <w:sz w:val="20"/>
                <w:szCs w:val="20"/>
              </w:rPr>
            </w:pPr>
            <w:r w:rsidRPr="00C01FE6">
              <w:rPr>
                <w:rFonts w:ascii="Calibri" w:eastAsia="Times New Roman" w:hAnsi="Calibri" w:cs="Calibri"/>
                <w:sz w:val="20"/>
                <w:szCs w:val="20"/>
              </w:rPr>
              <w:t>Evolutto</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130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180</w:t>
            </w:r>
          </w:p>
        </w:tc>
        <w:tc>
          <w:tcPr>
            <w:tcW w:w="1054" w:type="dxa"/>
          </w:tcPr>
          <w:p w:rsidR="002009CE" w:rsidRPr="002009CE" w:rsidRDefault="00EB0BEE" w:rsidP="002009CE">
            <w:pPr>
              <w:spacing w:after="0" w:line="240" w:lineRule="auto"/>
              <w:jc w:val="center"/>
              <w:rPr>
                <w:rFonts w:ascii="Calibri" w:eastAsia="Times New Roman" w:hAnsi="Calibri" w:cs="Calibri"/>
                <w:sz w:val="20"/>
                <w:szCs w:val="20"/>
              </w:rPr>
            </w:pPr>
            <w:r w:rsidRPr="00EB0BEE">
              <w:rPr>
                <w:rFonts w:ascii="Calibri" w:eastAsia="Times New Roman" w:hAnsi="Calibri" w:cs="Calibri"/>
                <w:sz w:val="20"/>
                <w:szCs w:val="20"/>
              </w:rPr>
              <w:t>7,39</w:t>
            </w:r>
          </w:p>
        </w:tc>
        <w:tc>
          <w:tcPr>
            <w:tcW w:w="392" w:type="dxa"/>
          </w:tcPr>
          <w:p w:rsidR="002009CE" w:rsidRPr="002009CE" w:rsidRDefault="006E0F64"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1.330,20</w:t>
            </w:r>
          </w:p>
        </w:tc>
      </w:tr>
      <w:tr w:rsidR="002009CE" w:rsidRPr="002009CE" w:rsidTr="002009CE">
        <w:tc>
          <w:tcPr>
            <w:tcW w:w="2924" w:type="dxa"/>
            <w:shd w:val="clear" w:color="auto" w:fill="BFBFBF"/>
          </w:tcPr>
          <w:p w:rsidR="002009CE" w:rsidRPr="002009CE" w:rsidRDefault="002009CE" w:rsidP="002009CE">
            <w:pPr>
              <w:spacing w:after="0" w:line="240" w:lineRule="auto"/>
              <w:rPr>
                <w:rFonts w:ascii="Calibri" w:eastAsia="Times New Roman" w:hAnsi="Calibri" w:cs="Calibri"/>
                <w:sz w:val="20"/>
                <w:szCs w:val="20"/>
              </w:rPr>
            </w:pPr>
          </w:p>
        </w:tc>
        <w:tc>
          <w:tcPr>
            <w:tcW w:w="1003" w:type="dxa"/>
            <w:shd w:val="clear" w:color="auto" w:fill="BFBFBF"/>
          </w:tcPr>
          <w:p w:rsidR="002009CE" w:rsidRPr="002009CE" w:rsidRDefault="002009CE" w:rsidP="002009CE">
            <w:pPr>
              <w:spacing w:after="0" w:line="240" w:lineRule="auto"/>
              <w:rPr>
                <w:rFonts w:ascii="Calibri" w:eastAsia="Times New Roman" w:hAnsi="Calibri" w:cs="Calibri"/>
                <w:sz w:val="20"/>
                <w:szCs w:val="20"/>
              </w:rPr>
            </w:pPr>
          </w:p>
        </w:tc>
        <w:tc>
          <w:tcPr>
            <w:tcW w:w="1008" w:type="dxa"/>
            <w:shd w:val="clear" w:color="auto" w:fill="BFBFBF"/>
          </w:tcPr>
          <w:p w:rsidR="002009CE" w:rsidRPr="002009CE" w:rsidRDefault="002009CE" w:rsidP="002009CE">
            <w:pPr>
              <w:spacing w:after="0" w:line="240" w:lineRule="auto"/>
              <w:jc w:val="center"/>
              <w:rPr>
                <w:rFonts w:ascii="Calibri" w:eastAsia="Times New Roman" w:hAnsi="Calibri" w:cs="Calibri"/>
                <w:b/>
                <w:sz w:val="20"/>
                <w:szCs w:val="20"/>
              </w:rPr>
            </w:pPr>
          </w:p>
        </w:tc>
        <w:tc>
          <w:tcPr>
            <w:tcW w:w="1416" w:type="dxa"/>
            <w:shd w:val="clear" w:color="auto" w:fill="BFBFBF"/>
          </w:tcPr>
          <w:p w:rsidR="002009CE" w:rsidRPr="002009CE" w:rsidRDefault="002009CE" w:rsidP="002009CE">
            <w:pPr>
              <w:spacing w:after="0" w:line="240" w:lineRule="auto"/>
              <w:jc w:val="center"/>
              <w:rPr>
                <w:rFonts w:ascii="Calibri" w:eastAsia="Times New Roman" w:hAnsi="Calibri" w:cs="Calibri"/>
                <w:b/>
                <w:sz w:val="20"/>
                <w:szCs w:val="20"/>
              </w:rPr>
            </w:pPr>
            <w:r w:rsidRPr="002009CE">
              <w:rPr>
                <w:rFonts w:ascii="Calibri" w:eastAsia="Times New Roman" w:hAnsi="Calibri" w:cs="Calibri"/>
                <w:b/>
                <w:sz w:val="20"/>
                <w:szCs w:val="20"/>
              </w:rPr>
              <w:t>8.480</w:t>
            </w:r>
          </w:p>
        </w:tc>
        <w:tc>
          <w:tcPr>
            <w:tcW w:w="1417" w:type="dxa"/>
            <w:shd w:val="clear" w:color="auto" w:fill="C4BC96"/>
          </w:tcPr>
          <w:p w:rsidR="002009CE" w:rsidRPr="002009CE" w:rsidRDefault="002009CE" w:rsidP="002009CE">
            <w:pPr>
              <w:spacing w:after="0" w:line="240" w:lineRule="auto"/>
              <w:jc w:val="center"/>
              <w:rPr>
                <w:rFonts w:ascii="Calibri" w:eastAsia="Times New Roman" w:hAnsi="Calibri" w:cs="Calibri"/>
                <w:b/>
                <w:sz w:val="20"/>
                <w:szCs w:val="20"/>
              </w:rPr>
            </w:pPr>
            <w:r w:rsidRPr="002009CE">
              <w:rPr>
                <w:rFonts w:ascii="Calibri" w:eastAsia="Times New Roman" w:hAnsi="Calibri" w:cs="Calibri"/>
                <w:b/>
                <w:sz w:val="20"/>
                <w:szCs w:val="20"/>
              </w:rPr>
              <w:t>12.500</w:t>
            </w:r>
          </w:p>
        </w:tc>
        <w:tc>
          <w:tcPr>
            <w:tcW w:w="1054" w:type="dxa"/>
            <w:shd w:val="clear" w:color="auto" w:fill="C4BC96"/>
          </w:tcPr>
          <w:p w:rsidR="002009CE" w:rsidRPr="002009CE" w:rsidRDefault="002009CE" w:rsidP="002009CE">
            <w:pPr>
              <w:spacing w:after="0" w:line="240" w:lineRule="auto"/>
              <w:jc w:val="center"/>
              <w:rPr>
                <w:rFonts w:ascii="Calibri" w:eastAsia="Times New Roman" w:hAnsi="Calibri" w:cs="Calibri"/>
                <w:b/>
                <w:sz w:val="20"/>
                <w:szCs w:val="20"/>
              </w:rPr>
            </w:pPr>
          </w:p>
        </w:tc>
        <w:tc>
          <w:tcPr>
            <w:tcW w:w="392" w:type="dxa"/>
            <w:shd w:val="clear" w:color="auto" w:fill="C4BC96"/>
          </w:tcPr>
          <w:p w:rsidR="002009CE" w:rsidRPr="002009CE" w:rsidRDefault="006E0F64" w:rsidP="002009CE">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92.375,00</w:t>
            </w:r>
          </w:p>
        </w:tc>
      </w:tr>
    </w:tbl>
    <w:p w:rsidR="002009CE" w:rsidRPr="002009CE" w:rsidRDefault="002009CE" w:rsidP="002009CE">
      <w:pPr>
        <w:widowControl w:val="0"/>
        <w:overflowPunct w:val="0"/>
        <w:adjustRightInd w:val="0"/>
        <w:spacing w:after="0"/>
        <w:ind w:right="70"/>
        <w:rPr>
          <w:rFonts w:ascii="Calibri" w:eastAsia="Calibri" w:hAnsi="Calibri" w:cs="Calibri"/>
          <w:sz w:val="20"/>
          <w:szCs w:val="20"/>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079"/>
        <w:gridCol w:w="994"/>
        <w:gridCol w:w="1393"/>
        <w:gridCol w:w="1393"/>
        <w:gridCol w:w="1054"/>
        <w:gridCol w:w="1031"/>
      </w:tblGrid>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ITEM 02</w:t>
            </w:r>
          </w:p>
        </w:tc>
        <w:tc>
          <w:tcPr>
            <w:tcW w:w="1133" w:type="dxa"/>
          </w:tcPr>
          <w:p w:rsidR="002009CE" w:rsidRPr="002009CE" w:rsidRDefault="002009CE" w:rsidP="002009CE">
            <w:pPr>
              <w:spacing w:after="0" w:line="240" w:lineRule="auto"/>
              <w:rPr>
                <w:rFonts w:ascii="Calibri" w:eastAsia="Times New Roman" w:hAnsi="Calibri" w:cs="Calibri"/>
                <w:b/>
                <w:sz w:val="20"/>
                <w:szCs w:val="20"/>
              </w:rPr>
            </w:pPr>
          </w:p>
        </w:tc>
        <w:tc>
          <w:tcPr>
            <w:tcW w:w="852" w:type="dxa"/>
          </w:tcPr>
          <w:p w:rsidR="002009CE" w:rsidRPr="002009CE" w:rsidRDefault="002009CE" w:rsidP="002009CE">
            <w:pPr>
              <w:spacing w:after="0" w:line="240" w:lineRule="auto"/>
              <w:rPr>
                <w:rFonts w:ascii="Calibri" w:eastAsia="Times New Roman" w:hAnsi="Calibri" w:cs="Calibri"/>
                <w:b/>
                <w:sz w:val="20"/>
                <w:szCs w:val="20"/>
              </w:rPr>
            </w:pPr>
          </w:p>
        </w:tc>
        <w:tc>
          <w:tcPr>
            <w:tcW w:w="1416" w:type="dxa"/>
          </w:tcPr>
          <w:p w:rsidR="002009CE" w:rsidRPr="002009CE" w:rsidRDefault="002009CE" w:rsidP="002009CE">
            <w:pPr>
              <w:spacing w:after="0" w:line="240" w:lineRule="auto"/>
              <w:rPr>
                <w:rFonts w:ascii="Calibri" w:eastAsia="Times New Roman" w:hAnsi="Calibri" w:cs="Calibri"/>
                <w:b/>
                <w:sz w:val="20"/>
                <w:szCs w:val="20"/>
              </w:rPr>
            </w:pPr>
          </w:p>
        </w:tc>
        <w:tc>
          <w:tcPr>
            <w:tcW w:w="1417" w:type="dxa"/>
            <w:shd w:val="clear" w:color="auto" w:fill="BFBFBF"/>
          </w:tcPr>
          <w:p w:rsidR="002009CE" w:rsidRPr="002009CE" w:rsidRDefault="002009CE" w:rsidP="002009CE">
            <w:pPr>
              <w:spacing w:after="0" w:line="240" w:lineRule="auto"/>
              <w:rPr>
                <w:rFonts w:ascii="Calibri" w:eastAsia="Times New Roman" w:hAnsi="Calibri" w:cs="Calibri"/>
                <w:b/>
                <w:sz w:val="20"/>
                <w:szCs w:val="20"/>
              </w:rPr>
            </w:pPr>
          </w:p>
        </w:tc>
        <w:tc>
          <w:tcPr>
            <w:tcW w:w="1054" w:type="dxa"/>
            <w:shd w:val="clear" w:color="auto" w:fill="BFBFBF"/>
          </w:tcPr>
          <w:p w:rsidR="002009CE" w:rsidRPr="002009CE" w:rsidRDefault="002009CE" w:rsidP="002009CE">
            <w:pPr>
              <w:spacing w:after="0" w:line="240" w:lineRule="auto"/>
              <w:rPr>
                <w:rFonts w:ascii="Calibri" w:eastAsia="Times New Roman" w:hAnsi="Calibri" w:cs="Calibri"/>
                <w:b/>
                <w:sz w:val="20"/>
                <w:szCs w:val="20"/>
              </w:rPr>
            </w:pPr>
          </w:p>
        </w:tc>
        <w:tc>
          <w:tcPr>
            <w:tcW w:w="796" w:type="dxa"/>
            <w:shd w:val="clear" w:color="auto" w:fill="BFBFBF"/>
          </w:tcPr>
          <w:p w:rsidR="002009CE" w:rsidRPr="002009CE" w:rsidRDefault="002009CE" w:rsidP="002009CE">
            <w:pPr>
              <w:spacing w:after="0" w:line="240" w:lineRule="auto"/>
              <w:rPr>
                <w:rFonts w:ascii="Calibri" w:eastAsia="Times New Roman" w:hAnsi="Calibri" w:cs="Calibri"/>
                <w:b/>
                <w:sz w:val="20"/>
                <w:szCs w:val="20"/>
              </w:rPr>
            </w:pPr>
          </w:p>
        </w:tc>
      </w:tr>
      <w:tr w:rsidR="002009CE" w:rsidRPr="002009CE" w:rsidTr="002009CE">
        <w:tc>
          <w:tcPr>
            <w:tcW w:w="2546" w:type="dxa"/>
          </w:tcPr>
          <w:p w:rsidR="002009CE" w:rsidRPr="002009CE" w:rsidRDefault="002009CE" w:rsidP="002009CE">
            <w:pPr>
              <w:spacing w:after="0" w:line="240" w:lineRule="auto"/>
              <w:jc w:val="both"/>
              <w:rPr>
                <w:rFonts w:ascii="Calibri" w:eastAsia="Times New Roman" w:hAnsi="Calibri" w:cs="Calibri"/>
                <w:b/>
                <w:sz w:val="20"/>
                <w:szCs w:val="20"/>
              </w:rPr>
            </w:pPr>
            <w:r w:rsidRPr="002009CE">
              <w:rPr>
                <w:rFonts w:ascii="Calibri" w:eastAsia="Times New Roman" w:hAnsi="Calibri" w:cs="Calibri"/>
                <w:b/>
                <w:sz w:val="20"/>
                <w:szCs w:val="20"/>
              </w:rPr>
              <w:t xml:space="preserve">Açúcar refinado, branco de 1ª qualidade, acondicionado em embalagem plástica, </w:t>
            </w:r>
            <w:r w:rsidRPr="002009CE">
              <w:rPr>
                <w:rFonts w:ascii="Calibri" w:eastAsia="Times New Roman" w:hAnsi="Calibri" w:cs="Calibri"/>
                <w:b/>
                <w:sz w:val="20"/>
                <w:szCs w:val="20"/>
                <w:u w:val="single"/>
              </w:rPr>
              <w:t>com validade mínima de 06 (seis) meses a contar de cada entrega solicitada</w:t>
            </w:r>
            <w:r w:rsidRPr="002009CE">
              <w:rPr>
                <w:rFonts w:ascii="Calibri" w:eastAsia="Times New Roman" w:hAnsi="Calibri" w:cs="Calibri"/>
                <w:b/>
                <w:sz w:val="20"/>
                <w:szCs w:val="20"/>
              </w:rPr>
              <w:t>, com todas as informações pertinentes ao produto, previsto na legislação vigente, constando data de fabricação e validade nos pacotes individuais. PACOTES DE 1 (UM) KG.</w:t>
            </w:r>
          </w:p>
        </w:tc>
        <w:tc>
          <w:tcPr>
            <w:tcW w:w="1133"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 xml:space="preserve">           </w:t>
            </w:r>
          </w:p>
        </w:tc>
        <w:tc>
          <w:tcPr>
            <w:tcW w:w="852" w:type="dxa"/>
          </w:tcPr>
          <w:p w:rsidR="002009CE" w:rsidRPr="002009CE" w:rsidRDefault="002009CE" w:rsidP="002009CE">
            <w:pPr>
              <w:spacing w:after="0" w:line="240" w:lineRule="auto"/>
              <w:rPr>
                <w:rFonts w:ascii="Calibri" w:eastAsia="Times New Roman" w:hAnsi="Calibri" w:cs="Calibri"/>
                <w:b/>
                <w:sz w:val="20"/>
                <w:szCs w:val="20"/>
              </w:rPr>
            </w:pPr>
          </w:p>
        </w:tc>
        <w:tc>
          <w:tcPr>
            <w:tcW w:w="1416"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 xml:space="preserve">       </w:t>
            </w:r>
          </w:p>
          <w:p w:rsidR="002009CE" w:rsidRPr="002009CE" w:rsidRDefault="002009CE" w:rsidP="002009CE">
            <w:pPr>
              <w:spacing w:after="0" w:line="240" w:lineRule="auto"/>
              <w:rPr>
                <w:rFonts w:ascii="Calibri" w:eastAsia="Times New Roman" w:hAnsi="Calibri" w:cs="Calibri"/>
                <w:b/>
                <w:sz w:val="20"/>
                <w:szCs w:val="20"/>
              </w:rPr>
            </w:pPr>
          </w:p>
        </w:tc>
        <w:tc>
          <w:tcPr>
            <w:tcW w:w="1417" w:type="dxa"/>
            <w:shd w:val="clear" w:color="auto" w:fill="BFBFBF"/>
          </w:tcPr>
          <w:p w:rsidR="002009CE" w:rsidRPr="002009CE" w:rsidRDefault="002009CE" w:rsidP="002009CE">
            <w:pPr>
              <w:spacing w:after="0" w:line="240" w:lineRule="auto"/>
              <w:rPr>
                <w:rFonts w:ascii="Calibri" w:eastAsia="Times New Roman" w:hAnsi="Calibri" w:cs="Calibri"/>
                <w:b/>
                <w:sz w:val="20"/>
                <w:szCs w:val="20"/>
              </w:rPr>
            </w:pPr>
          </w:p>
        </w:tc>
        <w:tc>
          <w:tcPr>
            <w:tcW w:w="1054" w:type="dxa"/>
            <w:shd w:val="clear" w:color="auto" w:fill="BFBFBF"/>
          </w:tcPr>
          <w:p w:rsidR="002009CE" w:rsidRPr="002009CE" w:rsidRDefault="002009CE" w:rsidP="002009CE">
            <w:pPr>
              <w:spacing w:after="0" w:line="240" w:lineRule="auto"/>
              <w:rPr>
                <w:rFonts w:ascii="Calibri" w:eastAsia="Times New Roman" w:hAnsi="Calibri" w:cs="Calibri"/>
                <w:b/>
                <w:sz w:val="20"/>
                <w:szCs w:val="20"/>
              </w:rPr>
            </w:pPr>
          </w:p>
        </w:tc>
        <w:tc>
          <w:tcPr>
            <w:tcW w:w="796" w:type="dxa"/>
            <w:shd w:val="clear" w:color="auto" w:fill="BFBFBF"/>
          </w:tcPr>
          <w:p w:rsidR="002009CE" w:rsidRPr="002009CE" w:rsidRDefault="002009CE" w:rsidP="002009CE">
            <w:pPr>
              <w:spacing w:after="0" w:line="240" w:lineRule="auto"/>
              <w:rPr>
                <w:rFonts w:ascii="Calibri" w:eastAsia="Times New Roman" w:hAnsi="Calibri" w:cs="Calibri"/>
                <w:b/>
                <w:sz w:val="20"/>
                <w:szCs w:val="20"/>
              </w:rPr>
            </w:pP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SECRETARIA</w:t>
            </w:r>
          </w:p>
        </w:tc>
        <w:tc>
          <w:tcPr>
            <w:tcW w:w="1133"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UNIDADE</w:t>
            </w:r>
          </w:p>
        </w:tc>
        <w:tc>
          <w:tcPr>
            <w:tcW w:w="852"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MARCA</w:t>
            </w:r>
          </w:p>
        </w:tc>
        <w:tc>
          <w:tcPr>
            <w:tcW w:w="1416"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 xml:space="preserve">QUANTIDADE MÍNIMA A SER CONSUMIDA </w:t>
            </w:r>
          </w:p>
        </w:tc>
        <w:tc>
          <w:tcPr>
            <w:tcW w:w="1417"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 xml:space="preserve">QUANTIDADE MÁXIMA A SER CONSUMIDA </w:t>
            </w:r>
          </w:p>
        </w:tc>
        <w:tc>
          <w:tcPr>
            <w:tcW w:w="1054"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 xml:space="preserve">VALOR UNITÁRIO </w:t>
            </w:r>
          </w:p>
        </w:tc>
        <w:tc>
          <w:tcPr>
            <w:tcW w:w="796" w:type="dxa"/>
          </w:tcPr>
          <w:p w:rsidR="002009CE" w:rsidRPr="002009CE" w:rsidRDefault="002009CE" w:rsidP="002009CE">
            <w:pPr>
              <w:spacing w:after="0" w:line="240" w:lineRule="auto"/>
              <w:rPr>
                <w:rFonts w:ascii="Calibri" w:eastAsia="Times New Roman" w:hAnsi="Calibri" w:cs="Calibri"/>
                <w:b/>
                <w:sz w:val="20"/>
                <w:szCs w:val="20"/>
              </w:rPr>
            </w:pPr>
            <w:r w:rsidRPr="002009CE">
              <w:rPr>
                <w:rFonts w:ascii="Calibri" w:eastAsia="Times New Roman" w:hAnsi="Calibri" w:cs="Calibri"/>
                <w:b/>
                <w:sz w:val="20"/>
                <w:szCs w:val="20"/>
              </w:rPr>
              <w:t xml:space="preserve">VALOR TOTAL </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ADMINISTRAÇÃO - SMA</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1.000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1.300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2,99</w:t>
            </w:r>
          </w:p>
        </w:tc>
        <w:tc>
          <w:tcPr>
            <w:tcW w:w="796" w:type="dxa"/>
          </w:tcPr>
          <w:p w:rsidR="002009CE" w:rsidRPr="002009CE" w:rsidRDefault="003B4B43"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3.887,00</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EXECUTIVA - SEXEC</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w:t>
            </w:r>
            <w:r w:rsidR="00E6135A">
              <w:rPr>
                <w:rFonts w:ascii="Calibri" w:eastAsia="Times New Roman" w:hAnsi="Calibri" w:cs="Calibri"/>
                <w:sz w:val="20"/>
                <w:szCs w:val="20"/>
              </w:rPr>
              <w:t>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sidRPr="00BD1EA7">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2.000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3.600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sidRPr="004D3605">
              <w:rPr>
                <w:rFonts w:ascii="Calibri" w:eastAsia="Times New Roman" w:hAnsi="Calibri" w:cs="Calibri"/>
                <w:sz w:val="20"/>
                <w:szCs w:val="20"/>
              </w:rPr>
              <w:t>2,99</w:t>
            </w:r>
          </w:p>
        </w:tc>
        <w:tc>
          <w:tcPr>
            <w:tcW w:w="796" w:type="dxa"/>
          </w:tcPr>
          <w:p w:rsidR="002009CE" w:rsidRPr="002009CE" w:rsidRDefault="003B4B43"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10.764,00</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VICE PREFEITURA - VP</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w:t>
            </w:r>
            <w:r w:rsidR="00E6135A">
              <w:rPr>
                <w:rFonts w:ascii="Calibri" w:eastAsia="Times New Roman" w:hAnsi="Calibri" w:cs="Calibri"/>
                <w:sz w:val="20"/>
                <w:szCs w:val="20"/>
              </w:rPr>
              <w:t>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sidRPr="00BD1EA7">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200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450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sidRPr="004D3605">
              <w:rPr>
                <w:rFonts w:ascii="Calibri" w:eastAsia="Times New Roman" w:hAnsi="Calibri" w:cs="Calibri"/>
                <w:sz w:val="20"/>
                <w:szCs w:val="20"/>
              </w:rPr>
              <w:t>2,99</w:t>
            </w:r>
          </w:p>
        </w:tc>
        <w:tc>
          <w:tcPr>
            <w:tcW w:w="796" w:type="dxa"/>
          </w:tcPr>
          <w:p w:rsidR="002009CE" w:rsidRPr="002009CE" w:rsidRDefault="003B4B43"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1.345,50</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INDÚSTRIA NAVAL E PETRÓLEO E GÁS - SENAV</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sidRPr="00BD1EA7">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12</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20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sidRPr="004D3605">
              <w:rPr>
                <w:rFonts w:ascii="Calibri" w:eastAsia="Times New Roman" w:hAnsi="Calibri" w:cs="Calibri"/>
                <w:sz w:val="20"/>
                <w:szCs w:val="20"/>
              </w:rPr>
              <w:t>2,99</w:t>
            </w:r>
          </w:p>
        </w:tc>
        <w:tc>
          <w:tcPr>
            <w:tcW w:w="796" w:type="dxa"/>
          </w:tcPr>
          <w:p w:rsidR="002009CE" w:rsidRPr="002009CE" w:rsidRDefault="003B4B43"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59,80</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GOVERNO - SEMUG</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sidRPr="00BD1EA7">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36</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40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sidRPr="004D3605">
              <w:rPr>
                <w:rFonts w:ascii="Calibri" w:eastAsia="Times New Roman" w:hAnsi="Calibri" w:cs="Calibri"/>
                <w:sz w:val="20"/>
                <w:szCs w:val="20"/>
              </w:rPr>
              <w:t>2,99</w:t>
            </w:r>
          </w:p>
        </w:tc>
        <w:tc>
          <w:tcPr>
            <w:tcW w:w="796" w:type="dxa"/>
          </w:tcPr>
          <w:p w:rsidR="002009CE" w:rsidRPr="002009CE" w:rsidRDefault="003B4B43"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119,60</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 xml:space="preserve">SECRETARIA MUNICIPAL DO MEIO AMBIENTE, RECURSOS HÍDRICOS E SUSTENTABILIDADE - SMARHS </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sidRPr="00BD1EA7">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60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100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sidRPr="004D3605">
              <w:rPr>
                <w:rFonts w:ascii="Calibri" w:eastAsia="Times New Roman" w:hAnsi="Calibri" w:cs="Calibri"/>
                <w:sz w:val="20"/>
                <w:szCs w:val="20"/>
              </w:rPr>
              <w:t>2,99</w:t>
            </w:r>
          </w:p>
        </w:tc>
        <w:tc>
          <w:tcPr>
            <w:tcW w:w="796" w:type="dxa"/>
          </w:tcPr>
          <w:p w:rsidR="002009CE" w:rsidRPr="002009CE" w:rsidRDefault="003B4B43"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299,00</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lastRenderedPageBreak/>
              <w:t>SECRETARIA MUNICIPAL DE URBANISMO E MOBILIDADE - SMU</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sidRPr="00BD1EA7">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200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300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sidRPr="004D3605">
              <w:rPr>
                <w:rFonts w:ascii="Calibri" w:eastAsia="Times New Roman" w:hAnsi="Calibri" w:cs="Calibri"/>
                <w:sz w:val="20"/>
                <w:szCs w:val="20"/>
              </w:rPr>
              <w:t>2,99</w:t>
            </w:r>
          </w:p>
        </w:tc>
        <w:tc>
          <w:tcPr>
            <w:tcW w:w="796" w:type="dxa"/>
          </w:tcPr>
          <w:p w:rsidR="002009CE" w:rsidRPr="002009CE" w:rsidRDefault="00451139"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897,00</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PROCURADORIA GERAL DO MUNICÍPIO - PGM</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sidRPr="00BD1EA7">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200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300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sidRPr="004D3605">
              <w:rPr>
                <w:rFonts w:ascii="Calibri" w:eastAsia="Times New Roman" w:hAnsi="Calibri" w:cs="Calibri"/>
                <w:sz w:val="20"/>
                <w:szCs w:val="20"/>
              </w:rPr>
              <w:t>2,99</w:t>
            </w:r>
          </w:p>
        </w:tc>
        <w:tc>
          <w:tcPr>
            <w:tcW w:w="796" w:type="dxa"/>
          </w:tcPr>
          <w:p w:rsidR="002009CE" w:rsidRPr="002009CE" w:rsidRDefault="00451139"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897,00</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CULTURA - SMC</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sidRPr="00BD1EA7">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250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sidRPr="004D3605">
              <w:rPr>
                <w:rFonts w:ascii="Calibri" w:eastAsia="Times New Roman" w:hAnsi="Calibri" w:cs="Calibri"/>
                <w:sz w:val="20"/>
                <w:szCs w:val="20"/>
              </w:rPr>
              <w:t>2,99</w:t>
            </w:r>
          </w:p>
        </w:tc>
        <w:tc>
          <w:tcPr>
            <w:tcW w:w="796" w:type="dxa"/>
          </w:tcPr>
          <w:p w:rsidR="002009CE" w:rsidRPr="002009CE" w:rsidRDefault="00451139"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747,50</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PLANEJAMENTO, MODERNIZAÇÃO DA GESTÃO E CONTROLE – SEPLAG</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sidRPr="00BD1EA7">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200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400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sidRPr="004D3605">
              <w:rPr>
                <w:rFonts w:ascii="Calibri" w:eastAsia="Times New Roman" w:hAnsi="Calibri" w:cs="Calibri"/>
                <w:sz w:val="20"/>
                <w:szCs w:val="20"/>
              </w:rPr>
              <w:t>2,99</w:t>
            </w:r>
          </w:p>
        </w:tc>
        <w:tc>
          <w:tcPr>
            <w:tcW w:w="796" w:type="dxa"/>
          </w:tcPr>
          <w:p w:rsidR="002009CE" w:rsidRPr="002009CE" w:rsidRDefault="00451139"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1.196,00</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CONSERVAÇÃO E SERVIÇOS PÚBLICOS - SECONSER</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sidRPr="00BD1EA7">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500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1.200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sidRPr="004D3605">
              <w:rPr>
                <w:rFonts w:ascii="Calibri" w:eastAsia="Times New Roman" w:hAnsi="Calibri" w:cs="Calibri"/>
                <w:sz w:val="20"/>
                <w:szCs w:val="20"/>
              </w:rPr>
              <w:t>2,99</w:t>
            </w:r>
          </w:p>
        </w:tc>
        <w:tc>
          <w:tcPr>
            <w:tcW w:w="796" w:type="dxa"/>
          </w:tcPr>
          <w:p w:rsidR="002009CE" w:rsidRPr="002009CE" w:rsidRDefault="00451139"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3.588,00</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ORDEM PÚBLICA – SEOP</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sidRPr="00BD1EA7">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300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1.000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sidRPr="004D3605">
              <w:rPr>
                <w:rFonts w:ascii="Calibri" w:eastAsia="Times New Roman" w:hAnsi="Calibri" w:cs="Calibri"/>
                <w:sz w:val="20"/>
                <w:szCs w:val="20"/>
              </w:rPr>
              <w:t>2,99</w:t>
            </w:r>
          </w:p>
        </w:tc>
        <w:tc>
          <w:tcPr>
            <w:tcW w:w="796" w:type="dxa"/>
          </w:tcPr>
          <w:p w:rsidR="002009CE" w:rsidRPr="002009CE" w:rsidRDefault="00451139"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2.990,00</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DESENVOLVIMENTO ECONÔMICO - SEDEN</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sidRPr="00BD1EA7">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80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150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sidRPr="004D3605">
              <w:rPr>
                <w:rFonts w:ascii="Calibri" w:eastAsia="Times New Roman" w:hAnsi="Calibri" w:cs="Calibri"/>
                <w:sz w:val="20"/>
                <w:szCs w:val="20"/>
              </w:rPr>
              <w:t>2,99</w:t>
            </w:r>
          </w:p>
        </w:tc>
        <w:tc>
          <w:tcPr>
            <w:tcW w:w="796" w:type="dxa"/>
          </w:tcPr>
          <w:p w:rsidR="002009CE" w:rsidRPr="002009CE" w:rsidRDefault="00451139"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448,50</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ESPORTE E LAZER - SMEL</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sidRPr="00BD1EA7">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50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100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sidRPr="004D3605">
              <w:rPr>
                <w:rFonts w:ascii="Calibri" w:eastAsia="Times New Roman" w:hAnsi="Calibri" w:cs="Calibri"/>
                <w:sz w:val="20"/>
                <w:szCs w:val="20"/>
              </w:rPr>
              <w:t>2,99</w:t>
            </w:r>
          </w:p>
        </w:tc>
        <w:tc>
          <w:tcPr>
            <w:tcW w:w="796" w:type="dxa"/>
          </w:tcPr>
          <w:p w:rsidR="002009CE" w:rsidRPr="002009CE" w:rsidRDefault="00451139"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299,00</w:t>
            </w:r>
          </w:p>
        </w:tc>
      </w:tr>
      <w:tr w:rsidR="002009CE" w:rsidRPr="002009CE" w:rsidTr="002009CE">
        <w:tc>
          <w:tcPr>
            <w:tcW w:w="2546" w:type="dxa"/>
          </w:tcPr>
          <w:p w:rsidR="002009CE" w:rsidRPr="002009CE" w:rsidRDefault="002009CE" w:rsidP="002009CE">
            <w:pPr>
              <w:spacing w:after="0" w:line="240" w:lineRule="auto"/>
              <w:rPr>
                <w:rFonts w:ascii="Calibri" w:eastAsia="Times New Roman" w:hAnsi="Calibri" w:cs="Calibri"/>
                <w:sz w:val="20"/>
                <w:szCs w:val="20"/>
              </w:rPr>
            </w:pPr>
            <w:r w:rsidRPr="002009CE">
              <w:rPr>
                <w:rFonts w:ascii="Calibri" w:eastAsia="Times New Roman" w:hAnsi="Calibri" w:cs="Calibri"/>
                <w:sz w:val="20"/>
                <w:szCs w:val="20"/>
              </w:rPr>
              <w:t>SECRETARIA MUNICIPAL DE DEFESA DO CONSUMIDOR</w:t>
            </w:r>
          </w:p>
        </w:tc>
        <w:tc>
          <w:tcPr>
            <w:tcW w:w="1133"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Kg</w:t>
            </w:r>
          </w:p>
        </w:tc>
        <w:tc>
          <w:tcPr>
            <w:tcW w:w="852" w:type="dxa"/>
          </w:tcPr>
          <w:p w:rsidR="002009CE" w:rsidRPr="002009CE" w:rsidRDefault="00BD1EA7" w:rsidP="002009CE">
            <w:pPr>
              <w:spacing w:after="0" w:line="240" w:lineRule="auto"/>
              <w:jc w:val="center"/>
              <w:rPr>
                <w:rFonts w:ascii="Calibri" w:eastAsia="Times New Roman" w:hAnsi="Calibri" w:cs="Calibri"/>
                <w:sz w:val="20"/>
                <w:szCs w:val="20"/>
              </w:rPr>
            </w:pPr>
            <w:r w:rsidRPr="00BD1EA7">
              <w:rPr>
                <w:rFonts w:ascii="Calibri" w:eastAsia="Times New Roman" w:hAnsi="Calibri" w:cs="Calibri"/>
                <w:sz w:val="20"/>
                <w:szCs w:val="20"/>
              </w:rPr>
              <w:t>Caravelas</w:t>
            </w:r>
          </w:p>
        </w:tc>
        <w:tc>
          <w:tcPr>
            <w:tcW w:w="1416"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80</w:t>
            </w:r>
          </w:p>
        </w:tc>
        <w:tc>
          <w:tcPr>
            <w:tcW w:w="1417" w:type="dxa"/>
          </w:tcPr>
          <w:p w:rsidR="002009CE" w:rsidRPr="002009CE" w:rsidRDefault="002009CE" w:rsidP="002009CE">
            <w:pPr>
              <w:spacing w:after="0" w:line="240" w:lineRule="auto"/>
              <w:jc w:val="center"/>
              <w:rPr>
                <w:rFonts w:ascii="Calibri" w:eastAsia="Times New Roman" w:hAnsi="Calibri" w:cs="Calibri"/>
                <w:sz w:val="20"/>
                <w:szCs w:val="20"/>
              </w:rPr>
            </w:pPr>
            <w:r w:rsidRPr="002009CE">
              <w:rPr>
                <w:rFonts w:ascii="Calibri" w:eastAsia="Times New Roman" w:hAnsi="Calibri" w:cs="Calibri"/>
                <w:sz w:val="20"/>
                <w:szCs w:val="20"/>
              </w:rPr>
              <w:t>150</w:t>
            </w:r>
          </w:p>
        </w:tc>
        <w:tc>
          <w:tcPr>
            <w:tcW w:w="1054" w:type="dxa"/>
          </w:tcPr>
          <w:p w:rsidR="002009CE" w:rsidRPr="002009CE" w:rsidRDefault="004D3605" w:rsidP="002009CE">
            <w:pPr>
              <w:spacing w:after="0" w:line="240" w:lineRule="auto"/>
              <w:jc w:val="center"/>
              <w:rPr>
                <w:rFonts w:ascii="Calibri" w:eastAsia="Times New Roman" w:hAnsi="Calibri" w:cs="Calibri"/>
                <w:sz w:val="20"/>
                <w:szCs w:val="20"/>
              </w:rPr>
            </w:pPr>
            <w:r w:rsidRPr="004D3605">
              <w:rPr>
                <w:rFonts w:ascii="Calibri" w:eastAsia="Times New Roman" w:hAnsi="Calibri" w:cs="Calibri"/>
                <w:sz w:val="20"/>
                <w:szCs w:val="20"/>
              </w:rPr>
              <w:t>2,99</w:t>
            </w:r>
          </w:p>
        </w:tc>
        <w:tc>
          <w:tcPr>
            <w:tcW w:w="796" w:type="dxa"/>
          </w:tcPr>
          <w:p w:rsidR="002009CE" w:rsidRPr="002009CE" w:rsidRDefault="00451139" w:rsidP="002009C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448,50</w:t>
            </w:r>
          </w:p>
        </w:tc>
      </w:tr>
      <w:tr w:rsidR="002009CE" w:rsidRPr="002009CE" w:rsidTr="002009CE">
        <w:tc>
          <w:tcPr>
            <w:tcW w:w="2546" w:type="dxa"/>
            <w:shd w:val="clear" w:color="auto" w:fill="BFBFBF"/>
          </w:tcPr>
          <w:p w:rsidR="002009CE" w:rsidRPr="002009CE" w:rsidRDefault="002009CE" w:rsidP="002009CE">
            <w:pPr>
              <w:spacing w:after="0" w:line="240" w:lineRule="auto"/>
              <w:rPr>
                <w:rFonts w:ascii="Calibri" w:eastAsia="Times New Roman" w:hAnsi="Calibri" w:cs="Calibri"/>
                <w:sz w:val="20"/>
                <w:szCs w:val="20"/>
              </w:rPr>
            </w:pPr>
          </w:p>
        </w:tc>
        <w:tc>
          <w:tcPr>
            <w:tcW w:w="1133" w:type="dxa"/>
            <w:shd w:val="clear" w:color="auto" w:fill="BFBFBF"/>
          </w:tcPr>
          <w:p w:rsidR="002009CE" w:rsidRPr="002009CE" w:rsidRDefault="002009CE" w:rsidP="002009CE">
            <w:pPr>
              <w:spacing w:after="0" w:line="240" w:lineRule="auto"/>
              <w:rPr>
                <w:rFonts w:ascii="Calibri" w:eastAsia="Times New Roman" w:hAnsi="Calibri" w:cs="Calibri"/>
                <w:sz w:val="20"/>
                <w:szCs w:val="20"/>
              </w:rPr>
            </w:pPr>
          </w:p>
        </w:tc>
        <w:tc>
          <w:tcPr>
            <w:tcW w:w="852" w:type="dxa"/>
            <w:shd w:val="clear" w:color="auto" w:fill="BFBFBF"/>
          </w:tcPr>
          <w:p w:rsidR="002009CE" w:rsidRPr="002009CE" w:rsidRDefault="002009CE" w:rsidP="002009CE">
            <w:pPr>
              <w:spacing w:after="0" w:line="240" w:lineRule="auto"/>
              <w:jc w:val="center"/>
              <w:rPr>
                <w:rFonts w:ascii="Calibri" w:eastAsia="Times New Roman" w:hAnsi="Calibri" w:cs="Calibri"/>
                <w:b/>
                <w:sz w:val="20"/>
                <w:szCs w:val="20"/>
              </w:rPr>
            </w:pPr>
          </w:p>
        </w:tc>
        <w:tc>
          <w:tcPr>
            <w:tcW w:w="1416" w:type="dxa"/>
            <w:shd w:val="clear" w:color="auto" w:fill="BFBFBF"/>
          </w:tcPr>
          <w:p w:rsidR="002009CE" w:rsidRPr="002009CE" w:rsidRDefault="002009CE" w:rsidP="002009CE">
            <w:pPr>
              <w:spacing w:after="0" w:line="240" w:lineRule="auto"/>
              <w:jc w:val="center"/>
              <w:rPr>
                <w:rFonts w:ascii="Calibri" w:eastAsia="Times New Roman" w:hAnsi="Calibri" w:cs="Calibri"/>
                <w:b/>
                <w:sz w:val="20"/>
                <w:szCs w:val="20"/>
              </w:rPr>
            </w:pPr>
            <w:r w:rsidRPr="002009CE">
              <w:rPr>
                <w:rFonts w:ascii="Calibri" w:eastAsia="Times New Roman" w:hAnsi="Calibri" w:cs="Calibri"/>
                <w:b/>
                <w:sz w:val="20"/>
                <w:szCs w:val="20"/>
              </w:rPr>
              <w:t>5.018</w:t>
            </w:r>
          </w:p>
        </w:tc>
        <w:tc>
          <w:tcPr>
            <w:tcW w:w="1417" w:type="dxa"/>
            <w:shd w:val="clear" w:color="auto" w:fill="C4BC96"/>
          </w:tcPr>
          <w:p w:rsidR="002009CE" w:rsidRPr="002009CE" w:rsidRDefault="002009CE" w:rsidP="002009CE">
            <w:pPr>
              <w:spacing w:after="0" w:line="240" w:lineRule="auto"/>
              <w:jc w:val="center"/>
              <w:rPr>
                <w:rFonts w:ascii="Calibri" w:eastAsia="Times New Roman" w:hAnsi="Calibri" w:cs="Calibri"/>
                <w:b/>
                <w:sz w:val="20"/>
                <w:szCs w:val="20"/>
              </w:rPr>
            </w:pPr>
            <w:r w:rsidRPr="002009CE">
              <w:rPr>
                <w:rFonts w:ascii="Calibri" w:eastAsia="Times New Roman" w:hAnsi="Calibri" w:cs="Calibri"/>
                <w:b/>
                <w:sz w:val="20"/>
                <w:szCs w:val="20"/>
              </w:rPr>
              <w:t>9.360</w:t>
            </w:r>
          </w:p>
        </w:tc>
        <w:tc>
          <w:tcPr>
            <w:tcW w:w="1054" w:type="dxa"/>
            <w:shd w:val="clear" w:color="auto" w:fill="C4BC96"/>
          </w:tcPr>
          <w:p w:rsidR="002009CE" w:rsidRPr="002009CE" w:rsidRDefault="002009CE" w:rsidP="002009CE">
            <w:pPr>
              <w:spacing w:after="0" w:line="240" w:lineRule="auto"/>
              <w:jc w:val="center"/>
              <w:rPr>
                <w:rFonts w:ascii="Calibri" w:eastAsia="Times New Roman" w:hAnsi="Calibri" w:cs="Calibri"/>
                <w:b/>
                <w:sz w:val="20"/>
                <w:szCs w:val="20"/>
              </w:rPr>
            </w:pPr>
          </w:p>
        </w:tc>
        <w:tc>
          <w:tcPr>
            <w:tcW w:w="796" w:type="dxa"/>
            <w:shd w:val="clear" w:color="auto" w:fill="C4BC96"/>
          </w:tcPr>
          <w:p w:rsidR="002009CE" w:rsidRPr="002009CE" w:rsidRDefault="00451139" w:rsidP="002009CE">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27.986,40</w:t>
            </w:r>
          </w:p>
        </w:tc>
      </w:tr>
    </w:tbl>
    <w:tbl>
      <w:tblPr>
        <w:tblStyle w:val="Tabelacomgrade"/>
        <w:tblW w:w="9209" w:type="dxa"/>
        <w:tblLook w:val="04A0" w:firstRow="1" w:lastRow="0" w:firstColumn="1" w:lastColumn="0" w:noHBand="0" w:noVBand="1"/>
      </w:tblPr>
      <w:tblGrid>
        <w:gridCol w:w="4390"/>
        <w:gridCol w:w="4819"/>
      </w:tblGrid>
      <w:tr w:rsidR="00745F67" w:rsidRPr="00F97C30" w:rsidTr="00451139">
        <w:tc>
          <w:tcPr>
            <w:tcW w:w="4390" w:type="dxa"/>
            <w:shd w:val="clear" w:color="auto" w:fill="B8CCE4" w:themeFill="accent1" w:themeFillTint="66"/>
          </w:tcPr>
          <w:p w:rsidR="00745F67" w:rsidRPr="00F97C30" w:rsidRDefault="00745F67" w:rsidP="00A95422">
            <w:pPr>
              <w:jc w:val="both"/>
              <w:rPr>
                <w:rFonts w:eastAsia="Times New Roman" w:cs="Arial"/>
                <w:b/>
                <w:iCs/>
                <w:sz w:val="20"/>
                <w:szCs w:val="20"/>
              </w:rPr>
            </w:pPr>
            <w:r w:rsidRPr="00F97C30">
              <w:rPr>
                <w:rFonts w:eastAsia="Times New Roman" w:cs="Arial"/>
                <w:b/>
                <w:iCs/>
                <w:sz w:val="20"/>
                <w:szCs w:val="20"/>
              </w:rPr>
              <w:t>VALOR TOTAL DA ATA .............................</w:t>
            </w:r>
          </w:p>
        </w:tc>
        <w:tc>
          <w:tcPr>
            <w:tcW w:w="4819" w:type="dxa"/>
            <w:shd w:val="clear" w:color="auto" w:fill="B8CCE4" w:themeFill="accent1" w:themeFillTint="66"/>
          </w:tcPr>
          <w:p w:rsidR="00745F67" w:rsidRPr="00F97C30" w:rsidRDefault="00451139" w:rsidP="00451139">
            <w:pPr>
              <w:rPr>
                <w:rFonts w:eastAsia="Times New Roman" w:cs="Arial"/>
                <w:b/>
                <w:iCs/>
                <w:sz w:val="20"/>
                <w:szCs w:val="20"/>
              </w:rPr>
            </w:pPr>
            <w:r>
              <w:rPr>
                <w:rFonts w:eastAsia="Times New Roman" w:cs="Arial"/>
                <w:b/>
                <w:iCs/>
                <w:sz w:val="20"/>
                <w:szCs w:val="20"/>
              </w:rPr>
              <w:t xml:space="preserve">                                                                           </w:t>
            </w:r>
            <w:r w:rsidR="00745F67" w:rsidRPr="00F97C30">
              <w:rPr>
                <w:rFonts w:eastAsia="Times New Roman" w:cs="Arial"/>
                <w:b/>
                <w:iCs/>
                <w:sz w:val="20"/>
                <w:szCs w:val="20"/>
              </w:rPr>
              <w:t xml:space="preserve">R$ </w:t>
            </w:r>
            <w:r>
              <w:rPr>
                <w:rFonts w:eastAsia="Times New Roman" w:cs="Arial"/>
                <w:b/>
                <w:iCs/>
                <w:sz w:val="20"/>
                <w:szCs w:val="20"/>
              </w:rPr>
              <w:t>120.361,40</w:t>
            </w:r>
          </w:p>
        </w:tc>
      </w:tr>
    </w:tbl>
    <w:p w:rsidR="00745F67" w:rsidRPr="00F97C30" w:rsidRDefault="00745F67" w:rsidP="00A95422">
      <w:pPr>
        <w:jc w:val="both"/>
        <w:rPr>
          <w:rFonts w:eastAsia="Times New Roman" w:cs="Arial"/>
          <w:iCs/>
          <w:sz w:val="20"/>
          <w:szCs w:val="20"/>
        </w:rPr>
      </w:pPr>
    </w:p>
    <w:p w:rsidR="001517FF" w:rsidRPr="00F97C30" w:rsidRDefault="001517FF" w:rsidP="0020784B">
      <w:pPr>
        <w:jc w:val="both"/>
        <w:rPr>
          <w:rFonts w:cs="Arial"/>
          <w:b/>
          <w:vanish/>
          <w:sz w:val="20"/>
          <w:szCs w:val="20"/>
        </w:rPr>
      </w:pPr>
    </w:p>
    <w:p w:rsidR="00BA5E52" w:rsidRPr="00F97C30" w:rsidRDefault="00BA5E52" w:rsidP="002F5094">
      <w:pPr>
        <w:jc w:val="center"/>
        <w:rPr>
          <w:rFonts w:cs="Arial"/>
          <w:b/>
          <w:bCs/>
          <w:sz w:val="20"/>
          <w:szCs w:val="20"/>
        </w:rPr>
      </w:pPr>
    </w:p>
    <w:p w:rsidR="001517FF" w:rsidRPr="002009CE" w:rsidRDefault="001517FF" w:rsidP="002009CE">
      <w:pPr>
        <w:pStyle w:val="SemEspaamento"/>
        <w:jc w:val="center"/>
        <w:rPr>
          <w:b/>
          <w:sz w:val="20"/>
          <w:szCs w:val="20"/>
        </w:rPr>
      </w:pPr>
      <w:r w:rsidRPr="002009CE">
        <w:rPr>
          <w:b/>
          <w:sz w:val="20"/>
          <w:szCs w:val="20"/>
        </w:rPr>
        <w:t>MOACIR LINHARES SOUTINHO DA CRUZ</w:t>
      </w:r>
    </w:p>
    <w:p w:rsidR="001517FF" w:rsidRPr="002009CE" w:rsidRDefault="001517FF" w:rsidP="002009CE">
      <w:pPr>
        <w:pStyle w:val="SemEspaamento"/>
        <w:jc w:val="center"/>
        <w:rPr>
          <w:b/>
          <w:sz w:val="20"/>
          <w:szCs w:val="20"/>
        </w:rPr>
      </w:pPr>
      <w:r w:rsidRPr="002009CE">
        <w:rPr>
          <w:b/>
          <w:sz w:val="20"/>
          <w:szCs w:val="20"/>
        </w:rPr>
        <w:t>Secretário Municipal de Administração</w:t>
      </w:r>
    </w:p>
    <w:p w:rsidR="00EF3525" w:rsidRDefault="00EF3525" w:rsidP="002009CE">
      <w:pPr>
        <w:pStyle w:val="SemEspaamento"/>
        <w:rPr>
          <w:b/>
          <w:sz w:val="20"/>
          <w:szCs w:val="20"/>
        </w:rPr>
      </w:pPr>
    </w:p>
    <w:p w:rsidR="002009CE" w:rsidRDefault="002009CE" w:rsidP="002009CE">
      <w:pPr>
        <w:pStyle w:val="SemEspaamento"/>
        <w:rPr>
          <w:b/>
          <w:sz w:val="20"/>
          <w:szCs w:val="20"/>
        </w:rPr>
      </w:pPr>
    </w:p>
    <w:p w:rsidR="002009CE" w:rsidRPr="002009CE" w:rsidRDefault="002009CE" w:rsidP="002009CE">
      <w:pPr>
        <w:pStyle w:val="SemEspaamento"/>
        <w:rPr>
          <w:b/>
          <w:sz w:val="20"/>
          <w:szCs w:val="20"/>
        </w:rPr>
      </w:pPr>
    </w:p>
    <w:p w:rsidR="00D95EEE" w:rsidRDefault="00D95EEE" w:rsidP="00D95EEE">
      <w:pPr>
        <w:pStyle w:val="SemEspaamento"/>
        <w:jc w:val="center"/>
        <w:rPr>
          <w:b/>
          <w:sz w:val="20"/>
          <w:szCs w:val="20"/>
        </w:rPr>
      </w:pPr>
      <w:r w:rsidRPr="00D95EEE">
        <w:rPr>
          <w:b/>
          <w:sz w:val="20"/>
          <w:szCs w:val="20"/>
        </w:rPr>
        <w:t>CARLOS ALBERTO PINTO TEIXEIRA</w:t>
      </w:r>
    </w:p>
    <w:p w:rsidR="00D95EEE" w:rsidRDefault="00D95EEE" w:rsidP="00D95EEE">
      <w:pPr>
        <w:pStyle w:val="SemEspaamento"/>
        <w:jc w:val="center"/>
        <w:rPr>
          <w:b/>
          <w:sz w:val="20"/>
          <w:szCs w:val="20"/>
        </w:rPr>
      </w:pPr>
      <w:r w:rsidRPr="00D95EEE">
        <w:rPr>
          <w:b/>
          <w:sz w:val="20"/>
          <w:szCs w:val="20"/>
        </w:rPr>
        <w:t>C. TEIXEIRA 110 COMÉRCIO DE ALIMENTOS LTDA</w:t>
      </w:r>
      <w:r>
        <w:rPr>
          <w:b/>
          <w:sz w:val="20"/>
          <w:szCs w:val="20"/>
        </w:rPr>
        <w:t xml:space="preserve"> - ME</w:t>
      </w:r>
    </w:p>
    <w:p w:rsidR="00D95EEE" w:rsidRDefault="00D95EEE" w:rsidP="002009CE">
      <w:pPr>
        <w:pStyle w:val="SemEspaamento"/>
        <w:rPr>
          <w:b/>
          <w:sz w:val="20"/>
          <w:szCs w:val="20"/>
        </w:rPr>
      </w:pPr>
    </w:p>
    <w:p w:rsidR="00D95EEE" w:rsidRDefault="00D95EEE" w:rsidP="002009CE">
      <w:pPr>
        <w:pStyle w:val="SemEspaamento"/>
        <w:rPr>
          <w:b/>
          <w:sz w:val="20"/>
          <w:szCs w:val="20"/>
        </w:rPr>
      </w:pPr>
    </w:p>
    <w:p w:rsidR="00D95EEE" w:rsidRDefault="00D95EEE" w:rsidP="002009CE">
      <w:pPr>
        <w:pStyle w:val="SemEspaamento"/>
        <w:rPr>
          <w:b/>
          <w:sz w:val="20"/>
          <w:szCs w:val="20"/>
        </w:rPr>
      </w:pPr>
    </w:p>
    <w:p w:rsidR="001517FF" w:rsidRDefault="001517FF" w:rsidP="002009CE">
      <w:pPr>
        <w:pStyle w:val="SemEspaamento"/>
        <w:rPr>
          <w:b/>
          <w:sz w:val="20"/>
          <w:szCs w:val="20"/>
        </w:rPr>
      </w:pPr>
      <w:r w:rsidRPr="002009CE">
        <w:rPr>
          <w:b/>
          <w:sz w:val="20"/>
          <w:szCs w:val="20"/>
        </w:rPr>
        <w:t>TESTEMUNHAS:</w:t>
      </w:r>
    </w:p>
    <w:p w:rsidR="002009CE" w:rsidRPr="002009CE" w:rsidRDefault="002009CE" w:rsidP="002009CE">
      <w:pPr>
        <w:pStyle w:val="SemEspaamento"/>
        <w:rPr>
          <w:b/>
          <w:sz w:val="20"/>
          <w:szCs w:val="20"/>
        </w:rPr>
      </w:pPr>
    </w:p>
    <w:p w:rsidR="00EF3525" w:rsidRPr="002009CE" w:rsidRDefault="00EF3525" w:rsidP="002009CE">
      <w:pPr>
        <w:pStyle w:val="SemEspaamento"/>
        <w:rPr>
          <w:b/>
          <w:sz w:val="20"/>
          <w:szCs w:val="20"/>
        </w:rPr>
      </w:pPr>
    </w:p>
    <w:p w:rsidR="001517FF" w:rsidRPr="002009CE" w:rsidRDefault="001517FF" w:rsidP="002009CE">
      <w:pPr>
        <w:pStyle w:val="SemEspaamento"/>
        <w:rPr>
          <w:b/>
          <w:sz w:val="20"/>
          <w:szCs w:val="20"/>
        </w:rPr>
      </w:pPr>
      <w:r w:rsidRPr="002009CE">
        <w:rPr>
          <w:b/>
          <w:sz w:val="20"/>
          <w:szCs w:val="20"/>
        </w:rPr>
        <w:t>________________________</w:t>
      </w:r>
      <w:r w:rsidR="00EE05F9" w:rsidRPr="002009CE">
        <w:rPr>
          <w:b/>
          <w:sz w:val="20"/>
          <w:szCs w:val="20"/>
        </w:rPr>
        <w:t>____</w:t>
      </w:r>
      <w:r w:rsidRPr="002009CE">
        <w:rPr>
          <w:b/>
          <w:sz w:val="20"/>
          <w:szCs w:val="20"/>
        </w:rPr>
        <w:t>___</w:t>
      </w:r>
    </w:p>
    <w:p w:rsidR="002009CE" w:rsidRDefault="002F5094" w:rsidP="002009CE">
      <w:pPr>
        <w:pStyle w:val="SemEspaamento"/>
        <w:rPr>
          <w:b/>
          <w:sz w:val="20"/>
          <w:szCs w:val="20"/>
        </w:rPr>
      </w:pPr>
      <w:proofErr w:type="spellStart"/>
      <w:r w:rsidRPr="002009CE">
        <w:rPr>
          <w:b/>
          <w:sz w:val="20"/>
          <w:szCs w:val="20"/>
        </w:rPr>
        <w:t>Concyr</w:t>
      </w:r>
      <w:proofErr w:type="spellEnd"/>
      <w:r w:rsidRPr="002009CE">
        <w:rPr>
          <w:b/>
          <w:sz w:val="20"/>
          <w:szCs w:val="20"/>
        </w:rPr>
        <w:t xml:space="preserve"> Formiga Bernardes</w:t>
      </w:r>
    </w:p>
    <w:p w:rsidR="002009CE" w:rsidRPr="002009CE" w:rsidRDefault="002009CE" w:rsidP="002009CE">
      <w:pPr>
        <w:pStyle w:val="SemEspaamento"/>
        <w:rPr>
          <w:b/>
          <w:sz w:val="20"/>
          <w:szCs w:val="20"/>
        </w:rPr>
      </w:pPr>
    </w:p>
    <w:p w:rsidR="00EF3525" w:rsidRPr="002009CE" w:rsidRDefault="00EF3525" w:rsidP="002009CE">
      <w:pPr>
        <w:pStyle w:val="SemEspaamento"/>
        <w:rPr>
          <w:b/>
          <w:sz w:val="20"/>
          <w:szCs w:val="20"/>
        </w:rPr>
      </w:pPr>
    </w:p>
    <w:p w:rsidR="001517FF" w:rsidRPr="002009CE" w:rsidRDefault="001517FF" w:rsidP="002009CE">
      <w:pPr>
        <w:pStyle w:val="SemEspaamento"/>
        <w:rPr>
          <w:b/>
          <w:sz w:val="20"/>
          <w:szCs w:val="20"/>
        </w:rPr>
      </w:pPr>
      <w:r w:rsidRPr="002009CE">
        <w:rPr>
          <w:b/>
          <w:sz w:val="20"/>
          <w:szCs w:val="20"/>
        </w:rPr>
        <w:t>________________________________</w:t>
      </w:r>
    </w:p>
    <w:p w:rsidR="001517FF" w:rsidRPr="00F97C30" w:rsidRDefault="002F5094" w:rsidP="00D95EEE">
      <w:pPr>
        <w:pStyle w:val="SemEspaamento"/>
        <w:rPr>
          <w:rFonts w:cs="Arial"/>
          <w:b/>
          <w:sz w:val="20"/>
          <w:szCs w:val="20"/>
        </w:rPr>
      </w:pPr>
      <w:r w:rsidRPr="002009CE">
        <w:rPr>
          <w:b/>
          <w:sz w:val="20"/>
          <w:szCs w:val="20"/>
        </w:rPr>
        <w:t>Sandra Regina da Silva Moura</w:t>
      </w:r>
    </w:p>
    <w:sectPr w:rsidR="001517FF" w:rsidRPr="00F97C30" w:rsidSect="00BE5A2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A8F" w:rsidRDefault="003D5A8F" w:rsidP="00222ED9">
      <w:pPr>
        <w:spacing w:after="0" w:line="240" w:lineRule="auto"/>
      </w:pPr>
      <w:r>
        <w:separator/>
      </w:r>
    </w:p>
  </w:endnote>
  <w:endnote w:type="continuationSeparator" w:id="0">
    <w:p w:rsidR="003D5A8F" w:rsidRDefault="003D5A8F" w:rsidP="0022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272091"/>
      <w:docPartObj>
        <w:docPartGallery w:val="Page Numbers (Bottom of Page)"/>
        <w:docPartUnique/>
      </w:docPartObj>
    </w:sdtPr>
    <w:sdtEndPr/>
    <w:sdtContent>
      <w:p w:rsidR="00456C33" w:rsidRDefault="00456C33">
        <w:pPr>
          <w:pStyle w:val="Rodap"/>
          <w:jc w:val="right"/>
        </w:pPr>
        <w:r>
          <w:fldChar w:fldCharType="begin"/>
        </w:r>
        <w:r>
          <w:instrText>PAGE   \* MERGEFORMAT</w:instrText>
        </w:r>
        <w:r>
          <w:fldChar w:fldCharType="separate"/>
        </w:r>
        <w:r w:rsidR="00AF144A">
          <w:rPr>
            <w:noProof/>
          </w:rPr>
          <w:t>8</w:t>
        </w:r>
        <w:r>
          <w:fldChar w:fldCharType="end"/>
        </w:r>
      </w:p>
    </w:sdtContent>
  </w:sdt>
  <w:p w:rsidR="00456C33" w:rsidRDefault="00456C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A8F" w:rsidRDefault="003D5A8F" w:rsidP="00222ED9">
      <w:pPr>
        <w:spacing w:after="0" w:line="240" w:lineRule="auto"/>
      </w:pPr>
      <w:r>
        <w:separator/>
      </w:r>
    </w:p>
  </w:footnote>
  <w:footnote w:type="continuationSeparator" w:id="0">
    <w:p w:rsidR="003D5A8F" w:rsidRDefault="003D5A8F" w:rsidP="0022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8F" w:rsidRDefault="006472C5">
    <w:pPr>
      <w:pStyle w:val="Cabealho"/>
      <w:rPr>
        <w:noProof/>
      </w:rPr>
    </w:pPr>
    <w:r>
      <w:rPr>
        <w:noProof/>
      </w:rPr>
      <w:drawing>
        <wp:inline distT="0" distB="0" distL="0" distR="0" wp14:anchorId="0EB9C0A2" wp14:editId="071FC5A5">
          <wp:extent cx="5400040" cy="741945"/>
          <wp:effectExtent l="0" t="0" r="0" b="1270"/>
          <wp:docPr id="2" name="Imagem 2" descr="C:\Users\Niteroi\Desktop\Comunicação Interna\PAPELARIA PREFEITURA - LOGOMARCAS\05 ADMINISTRAÇÃO\ADMINISTRAÇÃO-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eroi\Desktop\Comunicação Interna\PAPELARIA PREFEITURA - LOGOMARCAS\05 ADMINISTRAÇÃO\ADMINISTRAÇÃO-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41945"/>
                  </a:xfrm>
                  <a:prstGeom prst="rect">
                    <a:avLst/>
                  </a:prstGeom>
                  <a:noFill/>
                  <a:ln>
                    <a:noFill/>
                  </a:ln>
                </pic:spPr>
              </pic:pic>
            </a:graphicData>
          </a:graphic>
        </wp:inline>
      </w:drawing>
    </w:r>
  </w:p>
  <w:p w:rsidR="006472C5" w:rsidRDefault="006472C5">
    <w:pPr>
      <w:pStyle w:val="Cabealho"/>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D9"/>
    <w:rsid w:val="00007F0A"/>
    <w:rsid w:val="000916E5"/>
    <w:rsid w:val="000A7004"/>
    <w:rsid w:val="000D43D2"/>
    <w:rsid w:val="000E0DF2"/>
    <w:rsid w:val="000E27FC"/>
    <w:rsid w:val="00106CFB"/>
    <w:rsid w:val="00126917"/>
    <w:rsid w:val="001517FF"/>
    <w:rsid w:val="001A521B"/>
    <w:rsid w:val="001D2534"/>
    <w:rsid w:val="00200899"/>
    <w:rsid w:val="002009CE"/>
    <w:rsid w:val="002053D8"/>
    <w:rsid w:val="00205BD7"/>
    <w:rsid w:val="0020784B"/>
    <w:rsid w:val="00222ED9"/>
    <w:rsid w:val="00246AEF"/>
    <w:rsid w:val="00254D47"/>
    <w:rsid w:val="00267DBE"/>
    <w:rsid w:val="00271B39"/>
    <w:rsid w:val="00297B71"/>
    <w:rsid w:val="002A1DB1"/>
    <w:rsid w:val="002A4DED"/>
    <w:rsid w:val="002A5780"/>
    <w:rsid w:val="002C0311"/>
    <w:rsid w:val="002D0E47"/>
    <w:rsid w:val="002E2823"/>
    <w:rsid w:val="002F5094"/>
    <w:rsid w:val="00306FA8"/>
    <w:rsid w:val="00325E6B"/>
    <w:rsid w:val="00346362"/>
    <w:rsid w:val="00365BFA"/>
    <w:rsid w:val="00366B02"/>
    <w:rsid w:val="00382AEE"/>
    <w:rsid w:val="0039686D"/>
    <w:rsid w:val="003B49F5"/>
    <w:rsid w:val="003B4B43"/>
    <w:rsid w:val="003D36FA"/>
    <w:rsid w:val="003D5A8F"/>
    <w:rsid w:val="004164B7"/>
    <w:rsid w:val="004419C5"/>
    <w:rsid w:val="00450150"/>
    <w:rsid w:val="00451139"/>
    <w:rsid w:val="00456C33"/>
    <w:rsid w:val="00495FBF"/>
    <w:rsid w:val="00497FF9"/>
    <w:rsid w:val="004A3ED9"/>
    <w:rsid w:val="004D3605"/>
    <w:rsid w:val="00524E08"/>
    <w:rsid w:val="0054258E"/>
    <w:rsid w:val="005A0C10"/>
    <w:rsid w:val="005E7B56"/>
    <w:rsid w:val="006029E8"/>
    <w:rsid w:val="00620CF7"/>
    <w:rsid w:val="006262E9"/>
    <w:rsid w:val="006457BD"/>
    <w:rsid w:val="006472C5"/>
    <w:rsid w:val="006549D8"/>
    <w:rsid w:val="0068281C"/>
    <w:rsid w:val="00692011"/>
    <w:rsid w:val="006C7507"/>
    <w:rsid w:val="006E0F64"/>
    <w:rsid w:val="006F067E"/>
    <w:rsid w:val="00702FD5"/>
    <w:rsid w:val="007351AF"/>
    <w:rsid w:val="00745F67"/>
    <w:rsid w:val="00751BEA"/>
    <w:rsid w:val="0076731D"/>
    <w:rsid w:val="007B1606"/>
    <w:rsid w:val="007F6AA4"/>
    <w:rsid w:val="008442E4"/>
    <w:rsid w:val="00844AE6"/>
    <w:rsid w:val="00887B18"/>
    <w:rsid w:val="00890B64"/>
    <w:rsid w:val="00893184"/>
    <w:rsid w:val="008B1111"/>
    <w:rsid w:val="008E43E3"/>
    <w:rsid w:val="009077A2"/>
    <w:rsid w:val="00981ABE"/>
    <w:rsid w:val="009A49AE"/>
    <w:rsid w:val="009B0B0A"/>
    <w:rsid w:val="009B49ED"/>
    <w:rsid w:val="009F0F3D"/>
    <w:rsid w:val="00A64004"/>
    <w:rsid w:val="00A74F06"/>
    <w:rsid w:val="00A86B0A"/>
    <w:rsid w:val="00A90B14"/>
    <w:rsid w:val="00A95422"/>
    <w:rsid w:val="00AF144A"/>
    <w:rsid w:val="00AF32B4"/>
    <w:rsid w:val="00AF5691"/>
    <w:rsid w:val="00B00C66"/>
    <w:rsid w:val="00B07899"/>
    <w:rsid w:val="00B16954"/>
    <w:rsid w:val="00B17FED"/>
    <w:rsid w:val="00B80634"/>
    <w:rsid w:val="00B93395"/>
    <w:rsid w:val="00BA5E52"/>
    <w:rsid w:val="00BD1EA7"/>
    <w:rsid w:val="00BD7CFF"/>
    <w:rsid w:val="00BE5A23"/>
    <w:rsid w:val="00C01FE6"/>
    <w:rsid w:val="00C03AD8"/>
    <w:rsid w:val="00C05F37"/>
    <w:rsid w:val="00C11FEE"/>
    <w:rsid w:val="00C40DAC"/>
    <w:rsid w:val="00C429E1"/>
    <w:rsid w:val="00C737C6"/>
    <w:rsid w:val="00C74C32"/>
    <w:rsid w:val="00C90442"/>
    <w:rsid w:val="00CD6E4D"/>
    <w:rsid w:val="00D10F79"/>
    <w:rsid w:val="00D713A3"/>
    <w:rsid w:val="00D77652"/>
    <w:rsid w:val="00D81727"/>
    <w:rsid w:val="00D95EEE"/>
    <w:rsid w:val="00DD6817"/>
    <w:rsid w:val="00E01382"/>
    <w:rsid w:val="00E2122C"/>
    <w:rsid w:val="00E34467"/>
    <w:rsid w:val="00E365EB"/>
    <w:rsid w:val="00E425AB"/>
    <w:rsid w:val="00E56A27"/>
    <w:rsid w:val="00E6135A"/>
    <w:rsid w:val="00EB0BEE"/>
    <w:rsid w:val="00EC1FE6"/>
    <w:rsid w:val="00EC3F21"/>
    <w:rsid w:val="00EE05F9"/>
    <w:rsid w:val="00EF3525"/>
    <w:rsid w:val="00F51E57"/>
    <w:rsid w:val="00F755CB"/>
    <w:rsid w:val="00F91A01"/>
    <w:rsid w:val="00F97C30"/>
    <w:rsid w:val="00FC44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F9EFD5D"/>
  <w15:docId w15:val="{7C634E38-8D17-40E3-93E1-B8BAF7C0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22ED9"/>
    <w:pPr>
      <w:tabs>
        <w:tab w:val="center" w:pos="4252"/>
        <w:tab w:val="right" w:pos="8504"/>
      </w:tabs>
      <w:spacing w:after="0" w:line="240" w:lineRule="auto"/>
    </w:pPr>
  </w:style>
  <w:style w:type="character" w:customStyle="1" w:styleId="CabealhoChar">
    <w:name w:val="Cabeçalho Char"/>
    <w:basedOn w:val="Fontepargpadro"/>
    <w:link w:val="Cabealho"/>
    <w:rsid w:val="00222ED9"/>
  </w:style>
  <w:style w:type="paragraph" w:styleId="Rodap">
    <w:name w:val="footer"/>
    <w:basedOn w:val="Normal"/>
    <w:link w:val="RodapChar"/>
    <w:uiPriority w:val="99"/>
    <w:unhideWhenUsed/>
    <w:rsid w:val="00222ED9"/>
    <w:pPr>
      <w:tabs>
        <w:tab w:val="center" w:pos="4252"/>
        <w:tab w:val="right" w:pos="8504"/>
      </w:tabs>
      <w:spacing w:after="0" w:line="240" w:lineRule="auto"/>
    </w:pPr>
  </w:style>
  <w:style w:type="character" w:customStyle="1" w:styleId="RodapChar">
    <w:name w:val="Rodapé Char"/>
    <w:basedOn w:val="Fontepargpadro"/>
    <w:link w:val="Rodap"/>
    <w:uiPriority w:val="99"/>
    <w:rsid w:val="00222ED9"/>
  </w:style>
  <w:style w:type="table" w:styleId="Tabelacomgrade">
    <w:name w:val="Table Grid"/>
    <w:basedOn w:val="Tabelanormal"/>
    <w:uiPriority w:val="59"/>
    <w:rsid w:val="004164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68281C"/>
    <w:pPr>
      <w:spacing w:after="0" w:line="240" w:lineRule="auto"/>
    </w:pPr>
  </w:style>
  <w:style w:type="paragraph" w:styleId="PargrafodaLista">
    <w:name w:val="List Paragraph"/>
    <w:basedOn w:val="Normal"/>
    <w:uiPriority w:val="34"/>
    <w:qFormat/>
    <w:rsid w:val="001D2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13651">
      <w:bodyDiv w:val="1"/>
      <w:marLeft w:val="0"/>
      <w:marRight w:val="0"/>
      <w:marTop w:val="0"/>
      <w:marBottom w:val="0"/>
      <w:divBdr>
        <w:top w:val="none" w:sz="0" w:space="0" w:color="auto"/>
        <w:left w:val="none" w:sz="0" w:space="0" w:color="auto"/>
        <w:bottom w:val="none" w:sz="0" w:space="0" w:color="auto"/>
        <w:right w:val="none" w:sz="0" w:space="0" w:color="auto"/>
      </w:divBdr>
    </w:div>
    <w:div w:id="13835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63A3-B8A8-46E7-823E-14D3C80C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2792</Words>
  <Characters>15080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ADCMP</dc:creator>
  <cp:lastModifiedBy>User</cp:lastModifiedBy>
  <cp:revision>21</cp:revision>
  <cp:lastPrinted>2015-07-13T15:12:00Z</cp:lastPrinted>
  <dcterms:created xsi:type="dcterms:W3CDTF">2016-10-10T17:18:00Z</dcterms:created>
  <dcterms:modified xsi:type="dcterms:W3CDTF">2016-10-11T14:53:00Z</dcterms:modified>
</cp:coreProperties>
</file>