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79E" w:rsidRDefault="0096779E" w:rsidP="00C715AE">
      <w:pPr>
        <w:spacing w:line="360" w:lineRule="auto"/>
        <w:jc w:val="both"/>
        <w:rPr>
          <w:rFonts w:ascii="Times New Roman" w:hAnsi="Times New Roman" w:cs="Times New Roman"/>
          <w:b/>
          <w:sz w:val="24"/>
          <w:szCs w:val="24"/>
        </w:rPr>
      </w:pPr>
    </w:p>
    <w:p w:rsidR="00933B87" w:rsidRDefault="00933B87" w:rsidP="00BF13AE">
      <w:pPr>
        <w:spacing w:line="360" w:lineRule="auto"/>
        <w:jc w:val="both"/>
        <w:rPr>
          <w:rFonts w:ascii="Calibri" w:eastAsia="Calibri" w:hAnsi="Calibri" w:cs="Times New Roman"/>
          <w:b/>
          <w:sz w:val="20"/>
          <w:szCs w:val="20"/>
        </w:rPr>
      </w:pPr>
    </w:p>
    <w:p w:rsidR="00BF13AE" w:rsidRPr="00BF13AE" w:rsidRDefault="00BF13AE" w:rsidP="00BF13AE">
      <w:pPr>
        <w:spacing w:line="360" w:lineRule="auto"/>
        <w:jc w:val="both"/>
        <w:rPr>
          <w:rFonts w:ascii="Calibri" w:eastAsia="Calibri" w:hAnsi="Calibri" w:cs="Times New Roman"/>
          <w:b/>
          <w:sz w:val="20"/>
          <w:szCs w:val="20"/>
        </w:rPr>
      </w:pPr>
      <w:r w:rsidRPr="00BF13AE">
        <w:rPr>
          <w:rFonts w:ascii="Calibri" w:eastAsia="Calibri" w:hAnsi="Calibri" w:cs="Times New Roman"/>
          <w:b/>
          <w:sz w:val="20"/>
          <w:szCs w:val="20"/>
        </w:rPr>
        <w:t xml:space="preserve">À </w:t>
      </w:r>
      <w:r>
        <w:rPr>
          <w:rFonts w:ascii="Calibri" w:eastAsia="Calibri" w:hAnsi="Calibri" w:cs="Times New Roman"/>
          <w:b/>
          <w:sz w:val="20"/>
          <w:szCs w:val="20"/>
        </w:rPr>
        <w:t>MINDTEK INTELIGÊNCIA E TECNOLOGIA LTDA</w:t>
      </w:r>
    </w:p>
    <w:p w:rsidR="00933B87" w:rsidRDefault="00933B87" w:rsidP="00BF13AE">
      <w:pPr>
        <w:spacing w:after="0" w:line="240" w:lineRule="auto"/>
        <w:rPr>
          <w:rFonts w:ascii="Calibri" w:eastAsia="Calibri" w:hAnsi="Calibri" w:cs="Times New Roman"/>
          <w:b/>
          <w:sz w:val="20"/>
          <w:szCs w:val="20"/>
        </w:rPr>
      </w:pPr>
    </w:p>
    <w:p w:rsidR="00BF13AE" w:rsidRPr="00BF13AE" w:rsidRDefault="00BF13AE" w:rsidP="00BF13AE">
      <w:pPr>
        <w:spacing w:after="0" w:line="240" w:lineRule="auto"/>
        <w:rPr>
          <w:rFonts w:ascii="Calibri" w:eastAsia="Calibri" w:hAnsi="Calibri" w:cs="Times New Roman"/>
          <w:b/>
          <w:sz w:val="20"/>
          <w:szCs w:val="20"/>
        </w:rPr>
      </w:pPr>
      <w:r w:rsidRPr="00BF13AE">
        <w:rPr>
          <w:rFonts w:ascii="Calibri" w:eastAsia="Calibri" w:hAnsi="Calibri" w:cs="Times New Roman"/>
          <w:b/>
          <w:sz w:val="20"/>
          <w:szCs w:val="20"/>
        </w:rPr>
        <w:t>REF.: PROCESSO ADMINISTRATIVO: 0200065</w:t>
      </w:r>
      <w:r>
        <w:rPr>
          <w:rFonts w:ascii="Calibri" w:eastAsia="Calibri" w:hAnsi="Calibri" w:cs="Times New Roman"/>
          <w:b/>
          <w:sz w:val="20"/>
          <w:szCs w:val="20"/>
        </w:rPr>
        <w:t>3</w:t>
      </w:r>
      <w:r w:rsidRPr="00BF13AE">
        <w:rPr>
          <w:rFonts w:ascii="Calibri" w:eastAsia="Calibri" w:hAnsi="Calibri" w:cs="Times New Roman"/>
          <w:b/>
          <w:sz w:val="20"/>
          <w:szCs w:val="20"/>
        </w:rPr>
        <w:t xml:space="preserve">4/2018 </w:t>
      </w:r>
    </w:p>
    <w:p w:rsidR="00BF13AE" w:rsidRPr="00BF13AE" w:rsidRDefault="00BF13AE" w:rsidP="00BF13AE">
      <w:pPr>
        <w:spacing w:after="0" w:line="240" w:lineRule="auto"/>
        <w:rPr>
          <w:rFonts w:ascii="Calibri" w:eastAsia="Calibri" w:hAnsi="Calibri" w:cs="Times New Roman"/>
          <w:b/>
          <w:sz w:val="20"/>
          <w:szCs w:val="20"/>
        </w:rPr>
      </w:pPr>
      <w:r w:rsidRPr="00BF13AE">
        <w:rPr>
          <w:rFonts w:ascii="Calibri" w:eastAsia="Calibri" w:hAnsi="Calibri" w:cs="Times New Roman"/>
          <w:b/>
          <w:sz w:val="20"/>
          <w:szCs w:val="20"/>
        </w:rPr>
        <w:t>MODALIDADE PREGÃO PRESENCIAL Nº 056/2018</w:t>
      </w:r>
    </w:p>
    <w:p w:rsidR="00BF13AE" w:rsidRPr="00BF13AE" w:rsidRDefault="00BF13AE" w:rsidP="00BF13AE">
      <w:pPr>
        <w:spacing w:after="0" w:line="240" w:lineRule="auto"/>
        <w:rPr>
          <w:rFonts w:ascii="Calibri" w:eastAsia="Calibri" w:hAnsi="Calibri" w:cs="Times New Roman"/>
          <w:b/>
          <w:sz w:val="20"/>
          <w:szCs w:val="20"/>
        </w:rPr>
      </w:pPr>
      <w:r w:rsidRPr="00BF13AE">
        <w:rPr>
          <w:rFonts w:ascii="Calibri" w:eastAsia="Calibri" w:hAnsi="Calibri" w:cs="Times New Roman"/>
          <w:b/>
          <w:sz w:val="20"/>
          <w:szCs w:val="20"/>
        </w:rPr>
        <w:t>TIPO DE LICITAÇÃO: MENOR PREÇO GLOBAL</w:t>
      </w:r>
    </w:p>
    <w:p w:rsidR="00BF13AE" w:rsidRPr="00BF13AE" w:rsidRDefault="00BF13AE" w:rsidP="00BF13AE">
      <w:pPr>
        <w:spacing w:line="360" w:lineRule="auto"/>
        <w:ind w:left="1416"/>
        <w:contextualSpacing/>
        <w:jc w:val="both"/>
        <w:rPr>
          <w:rFonts w:ascii="Calibri" w:eastAsia="Calibri" w:hAnsi="Calibri" w:cs="Times New Roman"/>
          <w:b/>
          <w:sz w:val="20"/>
          <w:szCs w:val="20"/>
        </w:rPr>
      </w:pPr>
    </w:p>
    <w:p w:rsidR="00933B87" w:rsidRDefault="00933B87" w:rsidP="00BF13AE">
      <w:pPr>
        <w:spacing w:line="360" w:lineRule="auto"/>
        <w:jc w:val="both"/>
        <w:rPr>
          <w:rFonts w:ascii="Calibri" w:eastAsia="Calibri" w:hAnsi="Calibri" w:cs="Times New Roman"/>
          <w:sz w:val="20"/>
          <w:szCs w:val="20"/>
        </w:rPr>
      </w:pPr>
    </w:p>
    <w:p w:rsidR="00BF13AE" w:rsidRPr="00BF13AE" w:rsidRDefault="00BF13AE" w:rsidP="00BF13AE">
      <w:pPr>
        <w:spacing w:line="360" w:lineRule="auto"/>
        <w:jc w:val="both"/>
        <w:rPr>
          <w:rFonts w:ascii="Calibri" w:eastAsia="Calibri" w:hAnsi="Calibri" w:cs="Times New Roman"/>
          <w:sz w:val="20"/>
          <w:szCs w:val="20"/>
        </w:rPr>
      </w:pPr>
      <w:bookmarkStart w:id="0" w:name="_GoBack"/>
      <w:bookmarkEnd w:id="0"/>
      <w:r w:rsidRPr="00BF13AE">
        <w:rPr>
          <w:rFonts w:ascii="Calibri" w:eastAsia="Calibri" w:hAnsi="Calibri" w:cs="Times New Roman"/>
          <w:sz w:val="20"/>
          <w:szCs w:val="20"/>
        </w:rPr>
        <w:t xml:space="preserve">Prezados, </w:t>
      </w:r>
    </w:p>
    <w:p w:rsidR="00BF13AE" w:rsidRPr="00BF13AE" w:rsidRDefault="00BF13AE" w:rsidP="00BF13AE">
      <w:pPr>
        <w:spacing w:line="360" w:lineRule="auto"/>
        <w:jc w:val="both"/>
        <w:rPr>
          <w:rFonts w:ascii="Calibri" w:eastAsia="Calibri" w:hAnsi="Calibri" w:cs="Times New Roman"/>
          <w:sz w:val="20"/>
          <w:szCs w:val="20"/>
        </w:rPr>
      </w:pPr>
      <w:r w:rsidRPr="00BF13AE">
        <w:rPr>
          <w:rFonts w:ascii="Calibri" w:eastAsia="Calibri" w:hAnsi="Calibri" w:cs="Times New Roman"/>
          <w:sz w:val="20"/>
          <w:szCs w:val="20"/>
        </w:rPr>
        <w:t xml:space="preserve">Trata-se de recurso interposto por esta conceituada empresa no Pregão Presencial nº 056/2018, </w:t>
      </w:r>
      <w:r w:rsidR="00933B87">
        <w:rPr>
          <w:rFonts w:ascii="Calibri" w:eastAsia="Calibri" w:hAnsi="Calibri" w:cs="Times New Roman"/>
          <w:sz w:val="20"/>
          <w:szCs w:val="20"/>
        </w:rPr>
        <w:t xml:space="preserve">contra decisão da Comissão de Licitação que a julgou inabilitada, </w:t>
      </w:r>
      <w:r w:rsidRPr="00BF13AE">
        <w:rPr>
          <w:rFonts w:ascii="Calibri" w:eastAsia="Calibri" w:hAnsi="Calibri" w:cs="Times New Roman"/>
          <w:sz w:val="20"/>
          <w:szCs w:val="20"/>
        </w:rPr>
        <w:t xml:space="preserve">destinada à Contratação de serviços de tecnologia da informação para garantir o desenvolvimento e manutenção dos serviços de infraestrutura e sistemas de informação para a Prefeitura Municipal de Niterói baseado em HST, de forma a suportar as ações relacionadas ao planejamento estratégico da Secretaria de Planejamento, Orçamento e Modernização da Gestão. </w:t>
      </w:r>
    </w:p>
    <w:p w:rsidR="00BF13AE" w:rsidRPr="00BF13AE" w:rsidRDefault="00BF13AE" w:rsidP="00BF13AE">
      <w:pPr>
        <w:spacing w:line="360" w:lineRule="auto"/>
        <w:jc w:val="both"/>
        <w:rPr>
          <w:rFonts w:ascii="Calibri" w:eastAsia="Calibri" w:hAnsi="Calibri" w:cs="Times New Roman"/>
          <w:sz w:val="20"/>
          <w:szCs w:val="20"/>
        </w:rPr>
      </w:pPr>
      <w:r w:rsidRPr="00BF13AE">
        <w:rPr>
          <w:rFonts w:ascii="Calibri" w:eastAsia="Calibri" w:hAnsi="Calibri" w:cs="Times New Roman"/>
          <w:sz w:val="20"/>
          <w:szCs w:val="20"/>
        </w:rPr>
        <w:t>Assim, passa-se à análise do pleito.</w:t>
      </w:r>
    </w:p>
    <w:p w:rsidR="00C715AE" w:rsidRPr="00BF13AE" w:rsidRDefault="0096779E" w:rsidP="00C715AE">
      <w:pPr>
        <w:spacing w:line="360" w:lineRule="auto"/>
        <w:jc w:val="both"/>
        <w:rPr>
          <w:rFonts w:cs="Times New Roman"/>
          <w:sz w:val="20"/>
          <w:szCs w:val="20"/>
        </w:rPr>
      </w:pPr>
      <w:r w:rsidRPr="00BF13AE">
        <w:rPr>
          <w:rFonts w:cs="Times New Roman"/>
          <w:sz w:val="20"/>
          <w:szCs w:val="20"/>
        </w:rPr>
        <w:t xml:space="preserve">A Empresa </w:t>
      </w:r>
      <w:r w:rsidR="00C715AE" w:rsidRPr="00BF13AE">
        <w:rPr>
          <w:rFonts w:cs="Times New Roman"/>
          <w:sz w:val="20"/>
          <w:szCs w:val="20"/>
        </w:rPr>
        <w:t>MINDTEK INTELIGÊNCIA E TECNOLOGIA LTDA, não apresentou as identidades de todos os sócios da empresa, conforme alínea “a” do subitem 12.1.1 do Edital, bem como não apresentou prova de inscrição no cadastro de contribuintes estadual ou municipal, conforme alínea “b” do subitem 12.2.1 do Edital e também não apresentou a Certidão da Dívida Ativa emitida pela Procuradoria Geral do Estado que deve estar acompanhada da prova de regularidade com a Fazenda Estadual, conforme alínea “d” do subitem 12.2.1 do Edital, portanto inabilitada.</w:t>
      </w:r>
    </w:p>
    <w:p w:rsidR="00C715AE" w:rsidRPr="00BF13AE" w:rsidRDefault="00C715AE" w:rsidP="00C715AE">
      <w:pPr>
        <w:spacing w:line="360" w:lineRule="auto"/>
        <w:jc w:val="both"/>
        <w:rPr>
          <w:rFonts w:cs="Times New Roman"/>
          <w:sz w:val="20"/>
          <w:szCs w:val="20"/>
        </w:rPr>
      </w:pPr>
      <w:r w:rsidRPr="00BF13AE">
        <w:rPr>
          <w:rFonts w:cs="Times New Roman"/>
          <w:sz w:val="20"/>
          <w:szCs w:val="20"/>
        </w:rPr>
        <w:t>Não existe possibilidade de sanar tais vícios, uma vez que tais documentos SEQUER FORAM APRESENTADOS, desta forma, não há que se falar em “eventuais vícios formais na apresentação dos documentos de habilitação poderão ser saneados na Sessão Pública de processamento do Pregão”, conforme o art. 13.5 do Edital.</w:t>
      </w:r>
    </w:p>
    <w:p w:rsidR="00C715AE" w:rsidRPr="00BF13AE" w:rsidRDefault="00C715AE" w:rsidP="00C715AE">
      <w:pPr>
        <w:spacing w:line="360" w:lineRule="auto"/>
        <w:jc w:val="both"/>
        <w:rPr>
          <w:rFonts w:cs="Times New Roman"/>
          <w:sz w:val="20"/>
          <w:szCs w:val="20"/>
        </w:rPr>
      </w:pPr>
      <w:r w:rsidRPr="00BF13AE">
        <w:rPr>
          <w:rFonts w:cs="Times New Roman"/>
          <w:sz w:val="20"/>
          <w:szCs w:val="20"/>
        </w:rPr>
        <w:lastRenderedPageBreak/>
        <w:t>O Acórdão 3.340/2015 TCU, citado no Recurso da MINDTEK de fls. mostra que “não é cabível inabilitar empresas em virtude de detalhes irrelevantes”, ocorre que não se trata de um documento irrelevante, e sim de quatro documentos IMPRESCINDÍVEIS para a habilitação. O que, SMJ, não se trata de um mero vício formal.</w:t>
      </w:r>
    </w:p>
    <w:p w:rsidR="00BF13AE" w:rsidRDefault="00BF13AE" w:rsidP="00C715AE">
      <w:pPr>
        <w:spacing w:line="360" w:lineRule="auto"/>
        <w:jc w:val="both"/>
        <w:rPr>
          <w:rFonts w:cs="Times New Roman"/>
          <w:sz w:val="20"/>
          <w:szCs w:val="20"/>
        </w:rPr>
      </w:pPr>
    </w:p>
    <w:p w:rsidR="00C715AE" w:rsidRPr="00BF13AE" w:rsidRDefault="00C715AE" w:rsidP="00C715AE">
      <w:pPr>
        <w:spacing w:line="360" w:lineRule="auto"/>
        <w:jc w:val="both"/>
        <w:rPr>
          <w:rFonts w:cs="Times New Roman"/>
          <w:sz w:val="20"/>
          <w:szCs w:val="20"/>
        </w:rPr>
      </w:pPr>
      <w:r w:rsidRPr="00BF13AE">
        <w:rPr>
          <w:rFonts w:cs="Times New Roman"/>
          <w:sz w:val="20"/>
          <w:szCs w:val="20"/>
        </w:rPr>
        <w:t>Vejamos os documentos que não foram apresentados pela empresa MINDTEK INTELIGÊNCIA E TECNOLOGIA LTDA EPP que foram exigidos no Edital do Certame:</w:t>
      </w:r>
    </w:p>
    <w:p w:rsidR="00C715AE" w:rsidRPr="00BF13AE" w:rsidRDefault="00C715AE" w:rsidP="00C715AE">
      <w:pPr>
        <w:spacing w:line="360" w:lineRule="auto"/>
        <w:jc w:val="both"/>
        <w:rPr>
          <w:rFonts w:cs="Times New Roman"/>
          <w:b/>
          <w:sz w:val="20"/>
          <w:szCs w:val="20"/>
          <w:u w:val="single"/>
        </w:rPr>
      </w:pPr>
      <w:r w:rsidRPr="00BF13AE">
        <w:rPr>
          <w:rFonts w:cs="Times New Roman"/>
          <w:b/>
          <w:sz w:val="20"/>
          <w:szCs w:val="20"/>
          <w:u w:val="single"/>
        </w:rPr>
        <w:t>Identidade de todos os Sócios da Empresa</w:t>
      </w:r>
    </w:p>
    <w:p w:rsidR="00C715AE" w:rsidRPr="00BF13AE" w:rsidRDefault="00C715AE" w:rsidP="00C715AE">
      <w:pPr>
        <w:spacing w:line="360" w:lineRule="auto"/>
        <w:jc w:val="both"/>
        <w:rPr>
          <w:rFonts w:cs="Times New Roman"/>
          <w:sz w:val="20"/>
          <w:szCs w:val="20"/>
        </w:rPr>
      </w:pPr>
      <w:r w:rsidRPr="00BF13AE">
        <w:rPr>
          <w:rFonts w:cs="Times New Roman"/>
          <w:sz w:val="20"/>
          <w:szCs w:val="20"/>
        </w:rPr>
        <w:t>12 - DA HABILITAÇÃO</w:t>
      </w:r>
    </w:p>
    <w:p w:rsidR="00C715AE" w:rsidRPr="00BF13AE" w:rsidRDefault="00C715AE" w:rsidP="00C715AE">
      <w:pPr>
        <w:spacing w:line="360" w:lineRule="auto"/>
        <w:jc w:val="both"/>
        <w:rPr>
          <w:rFonts w:cs="Times New Roman"/>
          <w:sz w:val="20"/>
          <w:szCs w:val="20"/>
        </w:rPr>
      </w:pPr>
      <w:r w:rsidRPr="00BF13AE">
        <w:rPr>
          <w:rFonts w:cs="Times New Roman"/>
          <w:sz w:val="20"/>
          <w:szCs w:val="20"/>
        </w:rPr>
        <w:t>12.1 - DOS DOCUMENTOS DE HABILITAÇÃO JURÍDICA</w:t>
      </w:r>
    </w:p>
    <w:p w:rsidR="00C715AE" w:rsidRPr="00BF13AE" w:rsidRDefault="00C715AE" w:rsidP="00C715AE">
      <w:pPr>
        <w:spacing w:line="360" w:lineRule="auto"/>
        <w:jc w:val="both"/>
        <w:rPr>
          <w:rFonts w:cs="Times New Roman"/>
          <w:sz w:val="20"/>
          <w:szCs w:val="20"/>
        </w:rPr>
      </w:pPr>
      <w:r w:rsidRPr="00BF13AE">
        <w:rPr>
          <w:rFonts w:cs="Times New Roman"/>
          <w:sz w:val="20"/>
          <w:szCs w:val="20"/>
        </w:rPr>
        <w:t>12.1.1 Para fins de comprovação da habilitação jurídica, deverão ser apresentados, conforme o caso, os seguintes documentos:</w:t>
      </w:r>
    </w:p>
    <w:p w:rsidR="00C715AE" w:rsidRPr="00BF13AE" w:rsidRDefault="00C715AE" w:rsidP="00C715AE">
      <w:pPr>
        <w:spacing w:line="360" w:lineRule="auto"/>
        <w:jc w:val="both"/>
        <w:rPr>
          <w:rFonts w:cs="Times New Roman"/>
          <w:b/>
          <w:sz w:val="20"/>
          <w:szCs w:val="20"/>
        </w:rPr>
      </w:pPr>
      <w:r w:rsidRPr="00BF13AE">
        <w:rPr>
          <w:rFonts w:cs="Times New Roman"/>
          <w:b/>
          <w:sz w:val="20"/>
          <w:szCs w:val="20"/>
        </w:rPr>
        <w:t>a) Cédula de Identidade e CPF dos sócios ou dos diretores; (grifo nosso)</w:t>
      </w:r>
    </w:p>
    <w:p w:rsidR="00C715AE" w:rsidRPr="00BF13AE" w:rsidRDefault="00C715AE" w:rsidP="00C715AE">
      <w:pPr>
        <w:spacing w:line="360" w:lineRule="auto"/>
        <w:jc w:val="both"/>
        <w:rPr>
          <w:rFonts w:cs="Times New Roman"/>
          <w:b/>
          <w:sz w:val="20"/>
          <w:szCs w:val="20"/>
          <w:u w:val="single"/>
        </w:rPr>
      </w:pPr>
      <w:r w:rsidRPr="00BF13AE">
        <w:rPr>
          <w:rFonts w:cs="Times New Roman"/>
          <w:b/>
          <w:sz w:val="20"/>
          <w:szCs w:val="20"/>
          <w:u w:val="single"/>
        </w:rPr>
        <w:t>Prova de inscrição no Cadastro de Contribuintes Estadual ou Municipal</w:t>
      </w:r>
    </w:p>
    <w:p w:rsidR="00C715AE" w:rsidRPr="00BF13AE" w:rsidRDefault="00C715AE" w:rsidP="00C715AE">
      <w:pPr>
        <w:spacing w:line="360" w:lineRule="auto"/>
        <w:jc w:val="both"/>
        <w:rPr>
          <w:rFonts w:cs="Times New Roman"/>
          <w:sz w:val="20"/>
          <w:szCs w:val="20"/>
        </w:rPr>
      </w:pPr>
      <w:r w:rsidRPr="00BF13AE">
        <w:rPr>
          <w:rFonts w:cs="Times New Roman"/>
          <w:sz w:val="20"/>
          <w:szCs w:val="20"/>
        </w:rPr>
        <w:t>12.2 - DA REGULARIDADE FISCAL E TRABALHISTA</w:t>
      </w:r>
    </w:p>
    <w:p w:rsidR="00C715AE" w:rsidRPr="00BF13AE" w:rsidRDefault="00C715AE" w:rsidP="00C715AE">
      <w:pPr>
        <w:spacing w:line="360" w:lineRule="auto"/>
        <w:jc w:val="both"/>
        <w:rPr>
          <w:rFonts w:cs="Times New Roman"/>
          <w:sz w:val="20"/>
          <w:szCs w:val="20"/>
        </w:rPr>
      </w:pPr>
      <w:r w:rsidRPr="00BF13AE">
        <w:rPr>
          <w:rFonts w:cs="Times New Roman"/>
          <w:sz w:val="20"/>
          <w:szCs w:val="20"/>
        </w:rPr>
        <w:t>12.2.1 Para fins de comprovação da regularidade fiscal e trabalhista, deverão ser apresentados os seguintes documentos:</w:t>
      </w:r>
    </w:p>
    <w:p w:rsidR="00C715AE" w:rsidRPr="00BF13AE" w:rsidRDefault="00C715AE" w:rsidP="00C715AE">
      <w:pPr>
        <w:spacing w:line="360" w:lineRule="auto"/>
        <w:jc w:val="both"/>
        <w:rPr>
          <w:rFonts w:cs="Times New Roman"/>
          <w:b/>
          <w:sz w:val="20"/>
          <w:szCs w:val="20"/>
        </w:rPr>
      </w:pPr>
      <w:r w:rsidRPr="00BF13AE">
        <w:rPr>
          <w:rFonts w:cs="Times New Roman"/>
          <w:b/>
          <w:sz w:val="20"/>
          <w:szCs w:val="20"/>
        </w:rPr>
        <w:t>b) Prova de inscrição no cadastro de contribuintes estadual ou municipal, se houver, relativo ao domicílio ou sede do licitante, ou outra equivalente, na forma da lei; (grifo nosso)</w:t>
      </w:r>
    </w:p>
    <w:p w:rsidR="00C715AE" w:rsidRDefault="00C715AE" w:rsidP="00C715AE">
      <w:pPr>
        <w:spacing w:line="360" w:lineRule="auto"/>
        <w:jc w:val="both"/>
        <w:rPr>
          <w:rFonts w:cs="Times New Roman"/>
          <w:b/>
          <w:sz w:val="20"/>
          <w:szCs w:val="20"/>
          <w:u w:val="single"/>
        </w:rPr>
      </w:pPr>
      <w:r w:rsidRPr="00BF13AE">
        <w:rPr>
          <w:rFonts w:cs="Times New Roman"/>
          <w:b/>
          <w:sz w:val="20"/>
          <w:szCs w:val="20"/>
          <w:u w:val="single"/>
        </w:rPr>
        <w:t>Certidão da Dívida Ativa emitida pela Procuradoria Geral do Estado que deve estar acompanhada da prova de regularidade com a Fazenda Estadual</w:t>
      </w:r>
    </w:p>
    <w:p w:rsidR="00BF13AE" w:rsidRPr="00BF13AE" w:rsidRDefault="00BF13AE" w:rsidP="00C715AE">
      <w:pPr>
        <w:spacing w:line="360" w:lineRule="auto"/>
        <w:jc w:val="both"/>
        <w:rPr>
          <w:rFonts w:cs="Times New Roman"/>
          <w:b/>
          <w:sz w:val="20"/>
          <w:szCs w:val="20"/>
          <w:u w:val="single"/>
        </w:rPr>
      </w:pPr>
    </w:p>
    <w:p w:rsidR="00C715AE" w:rsidRPr="00BF13AE" w:rsidRDefault="00C715AE" w:rsidP="00C715AE">
      <w:pPr>
        <w:spacing w:line="360" w:lineRule="auto"/>
        <w:jc w:val="both"/>
        <w:rPr>
          <w:rFonts w:cs="Times New Roman"/>
          <w:sz w:val="20"/>
          <w:szCs w:val="20"/>
        </w:rPr>
      </w:pPr>
      <w:r w:rsidRPr="00BF13AE">
        <w:rPr>
          <w:rFonts w:cs="Times New Roman"/>
          <w:sz w:val="20"/>
          <w:szCs w:val="20"/>
        </w:rPr>
        <w:t>12.2 - DA REGULARIDADE FISCAL E TRABALHISTA</w:t>
      </w:r>
    </w:p>
    <w:p w:rsidR="00C715AE" w:rsidRPr="00BF13AE" w:rsidRDefault="00C715AE" w:rsidP="00C715AE">
      <w:pPr>
        <w:spacing w:line="360" w:lineRule="auto"/>
        <w:jc w:val="both"/>
        <w:rPr>
          <w:rFonts w:cs="Times New Roman"/>
          <w:sz w:val="20"/>
          <w:szCs w:val="20"/>
        </w:rPr>
      </w:pPr>
      <w:r w:rsidRPr="00BF13AE">
        <w:rPr>
          <w:rFonts w:cs="Times New Roman"/>
          <w:sz w:val="20"/>
          <w:szCs w:val="20"/>
        </w:rPr>
        <w:t>12.2.1 Para fins de comprovação da regularidade fiscal e trabalhista, deverão ser apresentados os seguintes documentos:</w:t>
      </w:r>
    </w:p>
    <w:p w:rsidR="00C715AE" w:rsidRPr="00BF13AE" w:rsidRDefault="00C715AE" w:rsidP="00C715AE">
      <w:pPr>
        <w:spacing w:line="360" w:lineRule="auto"/>
        <w:jc w:val="both"/>
        <w:rPr>
          <w:rFonts w:cs="Times New Roman"/>
          <w:b/>
          <w:sz w:val="20"/>
          <w:szCs w:val="20"/>
        </w:rPr>
      </w:pPr>
      <w:r w:rsidRPr="00BF13AE">
        <w:rPr>
          <w:rFonts w:cs="Times New Roman"/>
          <w:b/>
          <w:sz w:val="20"/>
          <w:szCs w:val="20"/>
        </w:rPr>
        <w:t>d) Prova de regularidade com a Fazenda Estadual, mediante a apresentação da certidão negativa ou positiva com efeitos de negativa; (grifo nosso)</w:t>
      </w:r>
    </w:p>
    <w:p w:rsidR="00C715AE" w:rsidRPr="00BF13AE" w:rsidRDefault="00C715AE" w:rsidP="00C715AE">
      <w:pPr>
        <w:spacing w:line="360" w:lineRule="auto"/>
        <w:jc w:val="both"/>
        <w:rPr>
          <w:rFonts w:cs="Times New Roman"/>
          <w:sz w:val="20"/>
          <w:szCs w:val="20"/>
        </w:rPr>
      </w:pPr>
      <w:r w:rsidRPr="00BF13AE">
        <w:rPr>
          <w:rFonts w:cs="Times New Roman"/>
          <w:sz w:val="20"/>
          <w:szCs w:val="20"/>
        </w:rPr>
        <w:t>Imperioso destacar o artigo 27, V, da Lei 8666/93, que é o que norteia a documentação para a habilitação em licitações:</w:t>
      </w:r>
    </w:p>
    <w:p w:rsidR="00C715AE" w:rsidRPr="00BF13AE" w:rsidRDefault="00C715AE" w:rsidP="00C715AE">
      <w:pPr>
        <w:spacing w:line="360" w:lineRule="auto"/>
        <w:jc w:val="both"/>
        <w:rPr>
          <w:rFonts w:cs="Times New Roman"/>
          <w:i/>
          <w:sz w:val="20"/>
          <w:szCs w:val="20"/>
        </w:rPr>
      </w:pPr>
      <w:r w:rsidRPr="00BF13AE">
        <w:rPr>
          <w:rFonts w:cs="Times New Roman"/>
          <w:i/>
          <w:sz w:val="20"/>
          <w:szCs w:val="20"/>
        </w:rPr>
        <w:t>Art. 27. Para a habilitação nas licitações exigir-se-á dos interessados, exclusivamente, documentação relativa a:</w:t>
      </w:r>
    </w:p>
    <w:p w:rsidR="00C715AE" w:rsidRPr="00BF13AE" w:rsidRDefault="00C715AE" w:rsidP="00C715AE">
      <w:pPr>
        <w:spacing w:line="360" w:lineRule="auto"/>
        <w:jc w:val="both"/>
        <w:rPr>
          <w:rFonts w:cs="Times New Roman"/>
          <w:i/>
          <w:sz w:val="20"/>
          <w:szCs w:val="20"/>
        </w:rPr>
      </w:pPr>
      <w:r w:rsidRPr="00BF13AE">
        <w:rPr>
          <w:rFonts w:cs="Times New Roman"/>
          <w:i/>
          <w:sz w:val="20"/>
          <w:szCs w:val="20"/>
        </w:rPr>
        <w:t xml:space="preserve">I - </w:t>
      </w:r>
      <w:proofErr w:type="gramStart"/>
      <w:r w:rsidRPr="00BF13AE">
        <w:rPr>
          <w:rFonts w:cs="Times New Roman"/>
          <w:i/>
          <w:sz w:val="20"/>
          <w:szCs w:val="20"/>
        </w:rPr>
        <w:t>habilitação</w:t>
      </w:r>
      <w:proofErr w:type="gramEnd"/>
      <w:r w:rsidRPr="00BF13AE">
        <w:rPr>
          <w:rFonts w:cs="Times New Roman"/>
          <w:i/>
          <w:sz w:val="20"/>
          <w:szCs w:val="20"/>
        </w:rPr>
        <w:t xml:space="preserve"> jurídica;</w:t>
      </w:r>
    </w:p>
    <w:p w:rsidR="00C715AE" w:rsidRPr="00BF13AE" w:rsidRDefault="00C715AE" w:rsidP="00C715AE">
      <w:pPr>
        <w:spacing w:line="360" w:lineRule="auto"/>
        <w:jc w:val="both"/>
        <w:rPr>
          <w:rFonts w:cs="Times New Roman"/>
          <w:i/>
          <w:sz w:val="20"/>
          <w:szCs w:val="20"/>
        </w:rPr>
      </w:pPr>
      <w:r w:rsidRPr="00BF13AE">
        <w:rPr>
          <w:rFonts w:cs="Times New Roman"/>
          <w:i/>
          <w:sz w:val="20"/>
          <w:szCs w:val="20"/>
        </w:rPr>
        <w:t xml:space="preserve">II - </w:t>
      </w:r>
      <w:proofErr w:type="gramStart"/>
      <w:r w:rsidRPr="00BF13AE">
        <w:rPr>
          <w:rFonts w:cs="Times New Roman"/>
          <w:i/>
          <w:sz w:val="20"/>
          <w:szCs w:val="20"/>
        </w:rPr>
        <w:t>qualificação</w:t>
      </w:r>
      <w:proofErr w:type="gramEnd"/>
      <w:r w:rsidRPr="00BF13AE">
        <w:rPr>
          <w:rFonts w:cs="Times New Roman"/>
          <w:i/>
          <w:sz w:val="20"/>
          <w:szCs w:val="20"/>
        </w:rPr>
        <w:t xml:space="preserve"> técnica;</w:t>
      </w:r>
    </w:p>
    <w:p w:rsidR="00C715AE" w:rsidRPr="00BF13AE" w:rsidRDefault="00C715AE" w:rsidP="00C715AE">
      <w:pPr>
        <w:spacing w:line="360" w:lineRule="auto"/>
        <w:jc w:val="both"/>
        <w:rPr>
          <w:rFonts w:cs="Times New Roman"/>
          <w:i/>
          <w:sz w:val="20"/>
          <w:szCs w:val="20"/>
        </w:rPr>
      </w:pPr>
      <w:r w:rsidRPr="00BF13AE">
        <w:rPr>
          <w:rFonts w:cs="Times New Roman"/>
          <w:i/>
          <w:sz w:val="20"/>
          <w:szCs w:val="20"/>
        </w:rPr>
        <w:t>III - qualificação econômico-financeira;</w:t>
      </w:r>
    </w:p>
    <w:p w:rsidR="00C715AE" w:rsidRPr="00BF13AE" w:rsidRDefault="00C715AE" w:rsidP="00C715AE">
      <w:pPr>
        <w:spacing w:line="360" w:lineRule="auto"/>
        <w:jc w:val="both"/>
        <w:rPr>
          <w:rFonts w:cs="Times New Roman"/>
          <w:i/>
          <w:sz w:val="20"/>
          <w:szCs w:val="20"/>
        </w:rPr>
      </w:pPr>
      <w:r w:rsidRPr="00BF13AE">
        <w:rPr>
          <w:rFonts w:cs="Times New Roman"/>
          <w:i/>
          <w:sz w:val="20"/>
          <w:szCs w:val="20"/>
        </w:rPr>
        <w:t xml:space="preserve">IV - </w:t>
      </w:r>
      <w:proofErr w:type="gramStart"/>
      <w:r w:rsidRPr="00BF13AE">
        <w:rPr>
          <w:rFonts w:cs="Times New Roman"/>
          <w:i/>
          <w:sz w:val="20"/>
          <w:szCs w:val="20"/>
        </w:rPr>
        <w:t>regularidade</w:t>
      </w:r>
      <w:proofErr w:type="gramEnd"/>
      <w:r w:rsidRPr="00BF13AE">
        <w:rPr>
          <w:rFonts w:cs="Times New Roman"/>
          <w:i/>
          <w:sz w:val="20"/>
          <w:szCs w:val="20"/>
        </w:rPr>
        <w:t xml:space="preserve"> fiscal e trabalhista;</w:t>
      </w:r>
    </w:p>
    <w:p w:rsidR="00C715AE" w:rsidRPr="00BF13AE" w:rsidRDefault="00C715AE" w:rsidP="00C715AE">
      <w:pPr>
        <w:spacing w:line="360" w:lineRule="auto"/>
        <w:jc w:val="both"/>
        <w:rPr>
          <w:rFonts w:cs="Times New Roman"/>
          <w:i/>
          <w:sz w:val="20"/>
          <w:szCs w:val="20"/>
        </w:rPr>
      </w:pPr>
      <w:r w:rsidRPr="00BF13AE">
        <w:rPr>
          <w:rFonts w:cs="Times New Roman"/>
          <w:i/>
          <w:sz w:val="20"/>
          <w:szCs w:val="20"/>
        </w:rPr>
        <w:t xml:space="preserve">V - </w:t>
      </w:r>
      <w:proofErr w:type="gramStart"/>
      <w:r w:rsidRPr="00BF13AE">
        <w:rPr>
          <w:rFonts w:cs="Times New Roman"/>
          <w:i/>
          <w:sz w:val="20"/>
          <w:szCs w:val="20"/>
        </w:rPr>
        <w:t>cumprimento</w:t>
      </w:r>
      <w:proofErr w:type="gramEnd"/>
      <w:r w:rsidRPr="00BF13AE">
        <w:rPr>
          <w:rFonts w:cs="Times New Roman"/>
          <w:i/>
          <w:sz w:val="20"/>
          <w:szCs w:val="20"/>
        </w:rPr>
        <w:t xml:space="preserve"> do disposto no inciso XXXIII do art. 7o da Constituição Federal.</w:t>
      </w:r>
    </w:p>
    <w:p w:rsidR="00BF13AE" w:rsidRDefault="00BF13AE" w:rsidP="00C715AE">
      <w:pPr>
        <w:spacing w:line="360" w:lineRule="auto"/>
        <w:jc w:val="both"/>
        <w:rPr>
          <w:rFonts w:cs="Times New Roman"/>
          <w:b/>
          <w:sz w:val="20"/>
          <w:szCs w:val="20"/>
        </w:rPr>
      </w:pPr>
    </w:p>
    <w:p w:rsidR="00C715AE" w:rsidRPr="00BF13AE" w:rsidRDefault="00C715AE" w:rsidP="00C715AE">
      <w:pPr>
        <w:spacing w:line="360" w:lineRule="auto"/>
        <w:jc w:val="both"/>
        <w:rPr>
          <w:rFonts w:cs="Times New Roman"/>
          <w:b/>
          <w:sz w:val="20"/>
          <w:szCs w:val="20"/>
        </w:rPr>
      </w:pPr>
      <w:r w:rsidRPr="00BF13AE">
        <w:rPr>
          <w:rFonts w:cs="Times New Roman"/>
          <w:b/>
          <w:sz w:val="20"/>
          <w:szCs w:val="20"/>
        </w:rPr>
        <w:t>DO PRINCÍPIO DA VINCULAÇÃO AO EDITAL</w:t>
      </w:r>
    </w:p>
    <w:p w:rsidR="00C715AE" w:rsidRPr="00BF13AE" w:rsidRDefault="00C715AE" w:rsidP="00C715AE">
      <w:pPr>
        <w:spacing w:line="360" w:lineRule="auto"/>
        <w:jc w:val="both"/>
        <w:rPr>
          <w:rFonts w:cs="Times New Roman"/>
          <w:sz w:val="20"/>
          <w:szCs w:val="20"/>
        </w:rPr>
      </w:pPr>
      <w:r w:rsidRPr="00BF13AE">
        <w:rPr>
          <w:rFonts w:cs="Times New Roman"/>
          <w:sz w:val="20"/>
          <w:szCs w:val="20"/>
        </w:rPr>
        <w:t>Seja qual for a modalidade adotada, deve-se garantir a observância da isonomia, legalidade, impessoalidade, igualdade, vinculação ao instrumento convocatório e julgamento objetivo, previstos expressamente no artigo 41 da Lei n. 8.666/1993.</w:t>
      </w:r>
    </w:p>
    <w:p w:rsidR="00C715AE" w:rsidRPr="00BF13AE" w:rsidRDefault="00C715AE" w:rsidP="00C715AE">
      <w:pPr>
        <w:spacing w:line="360" w:lineRule="auto"/>
        <w:jc w:val="both"/>
        <w:rPr>
          <w:rFonts w:cs="Times New Roman"/>
          <w:i/>
          <w:sz w:val="20"/>
          <w:szCs w:val="20"/>
        </w:rPr>
      </w:pPr>
      <w:r w:rsidRPr="00BF13AE">
        <w:rPr>
          <w:rFonts w:cs="Times New Roman"/>
          <w:i/>
          <w:sz w:val="20"/>
          <w:szCs w:val="20"/>
        </w:rPr>
        <w:t>Art. 41. A Administração não pode descumprir as normas e condições do edital, ao qual se acha estritamente vinculada.</w:t>
      </w:r>
    </w:p>
    <w:p w:rsidR="00C715AE" w:rsidRPr="00BF13AE" w:rsidRDefault="00C715AE" w:rsidP="00C715AE">
      <w:pPr>
        <w:spacing w:line="360" w:lineRule="auto"/>
        <w:jc w:val="both"/>
        <w:rPr>
          <w:rFonts w:cs="Times New Roman"/>
          <w:sz w:val="20"/>
          <w:szCs w:val="20"/>
        </w:rPr>
      </w:pPr>
      <w:r w:rsidRPr="00BF13AE">
        <w:rPr>
          <w:rFonts w:cs="Times New Roman"/>
          <w:sz w:val="20"/>
          <w:szCs w:val="20"/>
        </w:rPr>
        <w:t>Dentre as principais garantias, pode-se destacar a vinculação da Administração ao edital que regulamenta o certame licitatório. Trata-se de uma segurança para o licitante e para o interesse público, extraída do princípio do procedimento formal, que determina à Administração que observe as regras por ela própria lançadas no instrumento que convoca e rege a licitação.</w:t>
      </w:r>
    </w:p>
    <w:p w:rsidR="00C715AE" w:rsidRPr="00BF13AE" w:rsidRDefault="00C715AE" w:rsidP="00C715AE">
      <w:pPr>
        <w:spacing w:line="360" w:lineRule="auto"/>
        <w:jc w:val="both"/>
        <w:rPr>
          <w:rFonts w:cs="Times New Roman"/>
          <w:sz w:val="20"/>
          <w:szCs w:val="20"/>
        </w:rPr>
      </w:pPr>
      <w:r w:rsidRPr="00BF13AE">
        <w:rPr>
          <w:rFonts w:cs="Times New Roman"/>
          <w:sz w:val="20"/>
          <w:szCs w:val="20"/>
        </w:rPr>
        <w:t xml:space="preserve">Ainda sobre a vinculação ao edital, Marçal </w:t>
      </w:r>
      <w:proofErr w:type="spellStart"/>
      <w:r w:rsidRPr="00BF13AE">
        <w:rPr>
          <w:rFonts w:cs="Times New Roman"/>
          <w:sz w:val="20"/>
          <w:szCs w:val="20"/>
        </w:rPr>
        <w:t>Justen</w:t>
      </w:r>
      <w:proofErr w:type="spellEnd"/>
      <w:r w:rsidRPr="00BF13AE">
        <w:rPr>
          <w:rFonts w:cs="Times New Roman"/>
          <w:sz w:val="20"/>
          <w:szCs w:val="20"/>
        </w:rPr>
        <w:t xml:space="preserve"> Filho afirma que “Quando o edital impuser comprovação de certo requisito não cogitado por ocasião do cadastramento, será indispensável a apresentação dos documentos correspondentes por ocasião da fase de habilitação” (Pregão. Comentários à Legislação do Pregão Comum e do Eletrônico, 4ª ed., p. 305). Como exemplo de violação ao referido princípio, o autor cita a não apresentação de documento exigido em edital e/ou a apresentação de documento em desconformidade com o edital (como documento enviado por fac-símiles em apresentação dos originais posteriormente).</w:t>
      </w:r>
    </w:p>
    <w:p w:rsidR="00C715AE" w:rsidRPr="00BF13AE" w:rsidRDefault="00C715AE" w:rsidP="00C715AE">
      <w:pPr>
        <w:spacing w:line="360" w:lineRule="auto"/>
        <w:jc w:val="both"/>
        <w:rPr>
          <w:rFonts w:cs="Times New Roman"/>
          <w:sz w:val="20"/>
          <w:szCs w:val="20"/>
        </w:rPr>
      </w:pPr>
      <w:r w:rsidRPr="00BF13AE">
        <w:rPr>
          <w:rFonts w:cs="Times New Roman"/>
          <w:sz w:val="20"/>
          <w:szCs w:val="20"/>
        </w:rPr>
        <w:t xml:space="preserve">O edital é a lei da licitação. A despeito do procedimento ter suas regras traçadas pela própria Administração, não pode </w:t>
      </w:r>
      <w:proofErr w:type="spellStart"/>
      <w:r w:rsidRPr="00BF13AE">
        <w:rPr>
          <w:rFonts w:cs="Times New Roman"/>
          <w:sz w:val="20"/>
          <w:szCs w:val="20"/>
        </w:rPr>
        <w:t>esta</w:t>
      </w:r>
      <w:proofErr w:type="spellEnd"/>
      <w:r w:rsidRPr="00BF13AE">
        <w:rPr>
          <w:rFonts w:cs="Times New Roman"/>
          <w:sz w:val="20"/>
          <w:szCs w:val="20"/>
        </w:rPr>
        <w:t xml:space="preserve"> se furtar ao seu cumprimento, estando legalmente vinculada à plena observância do regramento.</w:t>
      </w:r>
    </w:p>
    <w:p w:rsidR="00C715AE" w:rsidRPr="00BF13AE" w:rsidRDefault="00C715AE" w:rsidP="00C715AE">
      <w:pPr>
        <w:spacing w:line="360" w:lineRule="auto"/>
        <w:jc w:val="both"/>
        <w:rPr>
          <w:rFonts w:cs="Times New Roman"/>
          <w:b/>
          <w:sz w:val="20"/>
          <w:szCs w:val="20"/>
        </w:rPr>
      </w:pPr>
      <w:r w:rsidRPr="00BF13AE">
        <w:rPr>
          <w:rFonts w:cs="Times New Roman"/>
          <w:sz w:val="20"/>
          <w:szCs w:val="20"/>
        </w:rPr>
        <w:t>Ao que tange os argumentos trazidos pela empresa, à saber:  “</w:t>
      </w:r>
      <w:r w:rsidRPr="00BF13AE">
        <w:rPr>
          <w:rFonts w:cs="Times New Roman"/>
          <w:b/>
          <w:sz w:val="20"/>
          <w:szCs w:val="20"/>
        </w:rPr>
        <w:t>que prevê que o registro regular no SICAF supre as exigências dos incisos I e II do artigo 31 da lei 8666/93, como também admitindo que a regularidade fiscal trabalhista, a qualificação econômico-financeira e a habilitação jurídica, poderão ser comprovadas por meio de cadastro no SICAF,  na fase de habilitação”</w:t>
      </w:r>
    </w:p>
    <w:p w:rsidR="00C715AE" w:rsidRPr="00BF13AE" w:rsidRDefault="00C715AE" w:rsidP="00C715AE">
      <w:pPr>
        <w:spacing w:line="360" w:lineRule="auto"/>
        <w:jc w:val="both"/>
        <w:rPr>
          <w:rFonts w:cs="Times New Roman"/>
          <w:sz w:val="20"/>
          <w:szCs w:val="20"/>
        </w:rPr>
      </w:pPr>
      <w:r w:rsidRPr="00BF13AE">
        <w:rPr>
          <w:rFonts w:cs="Times New Roman"/>
          <w:sz w:val="20"/>
          <w:szCs w:val="20"/>
        </w:rPr>
        <w:t>Todavia</w:t>
      </w:r>
      <w:r w:rsidR="00B454A2" w:rsidRPr="00BF13AE">
        <w:rPr>
          <w:rFonts w:cs="Times New Roman"/>
          <w:sz w:val="20"/>
          <w:szCs w:val="20"/>
        </w:rPr>
        <w:t>,</w:t>
      </w:r>
      <w:r w:rsidRPr="00BF13AE">
        <w:rPr>
          <w:rFonts w:cs="Times New Roman"/>
          <w:sz w:val="20"/>
          <w:szCs w:val="20"/>
        </w:rPr>
        <w:t xml:space="preserve"> não merece prosperar o argumento trazido, haja vista que, a empresa MINDTEK INTELIGÊNCIA E TECNOLOGIA LTDA, não apresentou, nem cumpriu a documentação de identificação e qualificação dos sócios, como prevê o artigo 27, I da supracitada legislação. Corrobora tal argumento, as orientações e entendimento pacificado pelo Tribunal de Contas da União, em seu manual de contratos e licitações, 4º edição, que diz o seguinte: </w:t>
      </w:r>
    </w:p>
    <w:p w:rsidR="00C715AE" w:rsidRPr="00BF13AE" w:rsidRDefault="00C715AE" w:rsidP="00C715AE">
      <w:pPr>
        <w:spacing w:line="360" w:lineRule="auto"/>
        <w:ind w:left="2268"/>
        <w:jc w:val="both"/>
        <w:rPr>
          <w:rFonts w:cs="Times New Roman"/>
          <w:sz w:val="20"/>
          <w:szCs w:val="20"/>
        </w:rPr>
      </w:pPr>
      <w:r w:rsidRPr="00BF13AE">
        <w:rPr>
          <w:rFonts w:cs="Times New Roman"/>
          <w:sz w:val="20"/>
          <w:szCs w:val="20"/>
        </w:rPr>
        <w:t xml:space="preserve">No exame da documentação relativa à habilitação jurídica devem ser observadas as normas que regulam e legitimam a atividade de pessoas físicas ou jurídicas. A documentação exigida, conforme o caso, consistirá em: </w:t>
      </w:r>
    </w:p>
    <w:p w:rsidR="00C715AE" w:rsidRPr="00BF13AE" w:rsidRDefault="00C715AE" w:rsidP="00C715AE">
      <w:pPr>
        <w:spacing w:line="360" w:lineRule="auto"/>
        <w:ind w:left="2268"/>
        <w:jc w:val="both"/>
        <w:rPr>
          <w:rFonts w:cs="Times New Roman"/>
          <w:sz w:val="20"/>
          <w:szCs w:val="20"/>
        </w:rPr>
      </w:pPr>
      <w:r w:rsidRPr="00BF13AE">
        <w:rPr>
          <w:rFonts w:cs="Times New Roman"/>
          <w:sz w:val="20"/>
          <w:szCs w:val="20"/>
        </w:rPr>
        <w:t xml:space="preserve">1- </w:t>
      </w:r>
      <w:proofErr w:type="gramStart"/>
      <w:r w:rsidRPr="00BF13AE">
        <w:rPr>
          <w:rFonts w:cs="Times New Roman"/>
          <w:sz w:val="20"/>
          <w:szCs w:val="20"/>
        </w:rPr>
        <w:t>cédula</w:t>
      </w:r>
      <w:proofErr w:type="gramEnd"/>
      <w:r w:rsidRPr="00BF13AE">
        <w:rPr>
          <w:rFonts w:cs="Times New Roman"/>
          <w:sz w:val="20"/>
          <w:szCs w:val="20"/>
        </w:rPr>
        <w:t xml:space="preserve"> de identidade; </w:t>
      </w:r>
    </w:p>
    <w:p w:rsidR="00C715AE" w:rsidRPr="00BF13AE" w:rsidRDefault="00C715AE" w:rsidP="00B454A2">
      <w:pPr>
        <w:spacing w:line="360" w:lineRule="auto"/>
        <w:ind w:firstLine="851"/>
        <w:jc w:val="both"/>
        <w:rPr>
          <w:rFonts w:cs="Times New Roman"/>
          <w:sz w:val="20"/>
          <w:szCs w:val="20"/>
        </w:rPr>
      </w:pPr>
      <w:r w:rsidRPr="00BF13AE">
        <w:rPr>
          <w:rFonts w:cs="Times New Roman"/>
          <w:sz w:val="20"/>
          <w:szCs w:val="20"/>
        </w:rPr>
        <w:t>Assevera ainda o tribunal;</w:t>
      </w:r>
    </w:p>
    <w:p w:rsidR="00C715AE" w:rsidRPr="00BF13AE" w:rsidRDefault="00C715AE" w:rsidP="00C715AE">
      <w:pPr>
        <w:spacing w:line="360" w:lineRule="auto"/>
        <w:ind w:left="2268"/>
        <w:jc w:val="both"/>
        <w:rPr>
          <w:rFonts w:cs="Times New Roman"/>
          <w:sz w:val="20"/>
          <w:szCs w:val="20"/>
        </w:rPr>
      </w:pPr>
      <w:r w:rsidRPr="00BF13AE">
        <w:rPr>
          <w:rFonts w:cs="Times New Roman"/>
          <w:sz w:val="20"/>
          <w:szCs w:val="20"/>
        </w:rPr>
        <w:t>O processamento e julgamento de licitação na modalidade pregão, na forma presencial, são realizados observando-se normalmente a sequência dos seguintes procedimentos: observando-se;</w:t>
      </w:r>
    </w:p>
    <w:p w:rsidR="00C715AE" w:rsidRPr="00BF13AE" w:rsidRDefault="00C715AE" w:rsidP="00C715AE">
      <w:pPr>
        <w:spacing w:line="360" w:lineRule="auto"/>
        <w:ind w:left="2268"/>
        <w:jc w:val="both"/>
        <w:rPr>
          <w:rFonts w:cs="Times New Roman"/>
          <w:sz w:val="20"/>
          <w:szCs w:val="20"/>
        </w:rPr>
      </w:pPr>
      <w:r w:rsidRPr="00BF13AE">
        <w:rPr>
          <w:rFonts w:cs="Times New Roman"/>
          <w:sz w:val="20"/>
          <w:szCs w:val="20"/>
        </w:rPr>
        <w:t>(...)</w:t>
      </w:r>
    </w:p>
    <w:p w:rsidR="00B454A2" w:rsidRPr="00BF13AE" w:rsidRDefault="00C715AE" w:rsidP="00722B92">
      <w:pPr>
        <w:spacing w:line="360" w:lineRule="auto"/>
        <w:ind w:left="2268"/>
        <w:jc w:val="both"/>
        <w:rPr>
          <w:rFonts w:cs="Times New Roman"/>
          <w:sz w:val="20"/>
          <w:szCs w:val="20"/>
        </w:rPr>
      </w:pPr>
      <w:r w:rsidRPr="00BF13AE">
        <w:rPr>
          <w:rFonts w:cs="Times New Roman"/>
          <w:sz w:val="20"/>
          <w:szCs w:val="20"/>
        </w:rPr>
        <w:t>4. identificação dos representantes legais dos licitantes, mediante apresentação de carteira de identidade e procuração ou contrato social, conforme o caso;</w:t>
      </w:r>
    </w:p>
    <w:p w:rsidR="00722B92" w:rsidRPr="00BF13AE" w:rsidRDefault="00722B92" w:rsidP="00722B92">
      <w:pPr>
        <w:spacing w:line="360" w:lineRule="auto"/>
        <w:jc w:val="both"/>
        <w:rPr>
          <w:rFonts w:cs="Times New Roman"/>
          <w:b/>
          <w:sz w:val="20"/>
          <w:szCs w:val="20"/>
        </w:rPr>
      </w:pPr>
      <w:r w:rsidRPr="00BF13AE">
        <w:rPr>
          <w:rFonts w:cs="Times New Roman"/>
          <w:sz w:val="20"/>
          <w:szCs w:val="20"/>
        </w:rPr>
        <w:t xml:space="preserve">Diante do exposto, reconheço o recurso e nego provimento à Recorrente </w:t>
      </w:r>
      <w:r w:rsidRPr="00BF13AE">
        <w:rPr>
          <w:rFonts w:cs="Times New Roman"/>
          <w:b/>
          <w:sz w:val="20"/>
          <w:szCs w:val="20"/>
        </w:rPr>
        <w:t>MINDTEK INTELIGÊNCIA E TECNOLOGIA LTDA</w:t>
      </w:r>
    </w:p>
    <w:p w:rsidR="00722B92" w:rsidRPr="00BF13AE" w:rsidRDefault="00722B92" w:rsidP="00722B92">
      <w:pPr>
        <w:pStyle w:val="PargrafodaLista"/>
        <w:spacing w:line="360" w:lineRule="auto"/>
        <w:ind w:left="1416"/>
        <w:jc w:val="both"/>
        <w:rPr>
          <w:rFonts w:cs="Times New Roman"/>
          <w:b/>
          <w:sz w:val="20"/>
          <w:szCs w:val="20"/>
        </w:rPr>
      </w:pPr>
    </w:p>
    <w:p w:rsidR="00C715AE" w:rsidRPr="00BF13AE" w:rsidRDefault="00C715AE" w:rsidP="00C715AE">
      <w:pPr>
        <w:spacing w:line="360" w:lineRule="auto"/>
        <w:ind w:firstLine="851"/>
        <w:jc w:val="both"/>
        <w:rPr>
          <w:rFonts w:cs="Times New Roman"/>
          <w:sz w:val="20"/>
          <w:szCs w:val="20"/>
        </w:rPr>
      </w:pPr>
    </w:p>
    <w:p w:rsidR="00C715AE" w:rsidRDefault="00C715AE" w:rsidP="00C715AE">
      <w:pPr>
        <w:tabs>
          <w:tab w:val="left" w:pos="3795"/>
        </w:tabs>
        <w:spacing w:after="0" w:line="240" w:lineRule="auto"/>
        <w:jc w:val="center"/>
        <w:rPr>
          <w:rFonts w:cs="Times New Roman"/>
          <w:sz w:val="20"/>
          <w:szCs w:val="20"/>
        </w:rPr>
      </w:pPr>
      <w:r w:rsidRPr="00BF13AE">
        <w:rPr>
          <w:rFonts w:cs="Times New Roman"/>
          <w:sz w:val="20"/>
          <w:szCs w:val="20"/>
        </w:rPr>
        <w:t>Niterói, 14 de janeiro de 2019.</w:t>
      </w:r>
    </w:p>
    <w:p w:rsidR="00BF13AE" w:rsidRDefault="00BF13AE" w:rsidP="00C715AE">
      <w:pPr>
        <w:tabs>
          <w:tab w:val="left" w:pos="3795"/>
        </w:tabs>
        <w:spacing w:after="0" w:line="240" w:lineRule="auto"/>
        <w:jc w:val="center"/>
        <w:rPr>
          <w:rFonts w:cs="Times New Roman"/>
          <w:sz w:val="20"/>
          <w:szCs w:val="20"/>
        </w:rPr>
      </w:pPr>
    </w:p>
    <w:p w:rsidR="00BF13AE" w:rsidRPr="00BF13AE" w:rsidRDefault="00BF13AE" w:rsidP="00C715AE">
      <w:pPr>
        <w:tabs>
          <w:tab w:val="left" w:pos="3795"/>
        </w:tabs>
        <w:spacing w:after="0" w:line="240" w:lineRule="auto"/>
        <w:jc w:val="center"/>
        <w:rPr>
          <w:rFonts w:cs="Times New Roman"/>
          <w:sz w:val="20"/>
          <w:szCs w:val="20"/>
        </w:rPr>
      </w:pPr>
    </w:p>
    <w:p w:rsidR="00C715AE" w:rsidRPr="00BF13AE" w:rsidRDefault="00C715AE" w:rsidP="00C715AE">
      <w:pPr>
        <w:tabs>
          <w:tab w:val="left" w:pos="3795"/>
        </w:tabs>
        <w:spacing w:after="0" w:line="240" w:lineRule="auto"/>
        <w:jc w:val="center"/>
        <w:rPr>
          <w:rFonts w:cs="Times New Roman"/>
          <w:sz w:val="20"/>
          <w:szCs w:val="20"/>
        </w:rPr>
      </w:pPr>
    </w:p>
    <w:p w:rsidR="00C715AE" w:rsidRPr="00BF13AE" w:rsidRDefault="00C715AE" w:rsidP="00C715AE">
      <w:pPr>
        <w:tabs>
          <w:tab w:val="left" w:pos="3795"/>
        </w:tabs>
        <w:spacing w:after="0" w:line="240" w:lineRule="auto"/>
        <w:jc w:val="center"/>
        <w:rPr>
          <w:rFonts w:cs="Times New Roman"/>
          <w:sz w:val="20"/>
          <w:szCs w:val="20"/>
        </w:rPr>
      </w:pPr>
    </w:p>
    <w:p w:rsidR="00C715AE" w:rsidRPr="00BF13AE" w:rsidRDefault="00C715AE" w:rsidP="00C715AE">
      <w:pPr>
        <w:pStyle w:val="Recuodecorpodetexto"/>
        <w:spacing w:line="240" w:lineRule="auto"/>
        <w:ind w:left="0"/>
        <w:jc w:val="center"/>
        <w:rPr>
          <w:rFonts w:asciiTheme="minorHAnsi" w:hAnsiTheme="minorHAnsi"/>
          <w:b/>
          <w:sz w:val="20"/>
        </w:rPr>
      </w:pPr>
      <w:r w:rsidRPr="00BF13AE">
        <w:rPr>
          <w:rFonts w:asciiTheme="minorHAnsi" w:hAnsiTheme="minorHAnsi"/>
          <w:b/>
          <w:sz w:val="20"/>
        </w:rPr>
        <w:t xml:space="preserve">GIOVANNA GUIOTTI TESTA VICTER </w:t>
      </w:r>
    </w:p>
    <w:p w:rsidR="00C715AE" w:rsidRPr="00BF13AE" w:rsidRDefault="00C715AE" w:rsidP="00C715AE">
      <w:pPr>
        <w:pStyle w:val="Recuodecorpodetexto"/>
        <w:spacing w:line="240" w:lineRule="auto"/>
        <w:ind w:left="0"/>
        <w:jc w:val="center"/>
        <w:rPr>
          <w:rFonts w:asciiTheme="minorHAnsi" w:hAnsiTheme="minorHAnsi"/>
          <w:sz w:val="20"/>
        </w:rPr>
      </w:pPr>
      <w:r w:rsidRPr="00BF13AE">
        <w:rPr>
          <w:rFonts w:asciiTheme="minorHAnsi" w:hAnsiTheme="minorHAnsi"/>
          <w:sz w:val="20"/>
        </w:rPr>
        <w:t>Secretária de Planejamento, Modernização</w:t>
      </w:r>
    </w:p>
    <w:p w:rsidR="00C715AE" w:rsidRPr="00BF13AE" w:rsidRDefault="00C715AE" w:rsidP="00C715AE">
      <w:pPr>
        <w:pStyle w:val="Recuodecorpodetexto"/>
        <w:spacing w:line="240" w:lineRule="auto"/>
        <w:ind w:left="0"/>
        <w:jc w:val="center"/>
        <w:rPr>
          <w:rFonts w:asciiTheme="minorHAnsi" w:hAnsiTheme="minorHAnsi"/>
          <w:sz w:val="20"/>
        </w:rPr>
      </w:pPr>
      <w:r w:rsidRPr="00BF13AE">
        <w:rPr>
          <w:rFonts w:asciiTheme="minorHAnsi" w:hAnsiTheme="minorHAnsi"/>
          <w:sz w:val="20"/>
        </w:rPr>
        <w:t>da Gestão e Controle</w:t>
      </w:r>
      <w:r w:rsidR="00722B92" w:rsidRPr="00BF13AE">
        <w:rPr>
          <w:rFonts w:asciiTheme="minorHAnsi" w:hAnsiTheme="minorHAnsi"/>
          <w:sz w:val="20"/>
        </w:rPr>
        <w:t>.</w:t>
      </w:r>
    </w:p>
    <w:p w:rsidR="00722B92" w:rsidRPr="00BF13AE" w:rsidRDefault="00722B92" w:rsidP="00722B92">
      <w:pPr>
        <w:pStyle w:val="Recuodecorpodetexto"/>
        <w:spacing w:line="240" w:lineRule="auto"/>
        <w:ind w:left="0"/>
        <w:jc w:val="center"/>
        <w:rPr>
          <w:rFonts w:asciiTheme="minorHAnsi" w:hAnsiTheme="minorHAnsi"/>
          <w:sz w:val="20"/>
        </w:rPr>
      </w:pPr>
      <w:r w:rsidRPr="00BF13AE">
        <w:rPr>
          <w:rFonts w:asciiTheme="minorHAnsi" w:hAnsiTheme="minorHAnsi"/>
          <w:sz w:val="20"/>
        </w:rPr>
        <w:t>Matr.1242.191-9</w:t>
      </w:r>
    </w:p>
    <w:p w:rsidR="00722B92" w:rsidRPr="00BF13AE" w:rsidRDefault="00722B92" w:rsidP="00C715AE">
      <w:pPr>
        <w:pStyle w:val="Recuodecorpodetexto"/>
        <w:spacing w:line="240" w:lineRule="auto"/>
        <w:ind w:left="0"/>
        <w:jc w:val="center"/>
        <w:rPr>
          <w:rFonts w:asciiTheme="minorHAnsi" w:hAnsiTheme="minorHAnsi"/>
          <w:sz w:val="20"/>
        </w:rPr>
      </w:pPr>
    </w:p>
    <w:p w:rsidR="00EE147A" w:rsidRPr="00BF13AE" w:rsidRDefault="00EE147A">
      <w:pPr>
        <w:rPr>
          <w:rFonts w:cs="Times New Roman"/>
          <w:sz w:val="20"/>
          <w:szCs w:val="20"/>
        </w:rPr>
      </w:pPr>
    </w:p>
    <w:sectPr w:rsidR="00EE147A" w:rsidRPr="00BF13A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286" w:rsidRDefault="004D0286" w:rsidP="00C715AE">
      <w:pPr>
        <w:spacing w:after="0" w:line="240" w:lineRule="auto"/>
      </w:pPr>
      <w:r>
        <w:separator/>
      </w:r>
    </w:p>
  </w:endnote>
  <w:endnote w:type="continuationSeparator" w:id="0">
    <w:p w:rsidR="004D0286" w:rsidRDefault="004D0286" w:rsidP="00C7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286" w:rsidRDefault="004D0286" w:rsidP="00C715AE">
      <w:pPr>
        <w:spacing w:after="0" w:line="240" w:lineRule="auto"/>
      </w:pPr>
      <w:r>
        <w:separator/>
      </w:r>
    </w:p>
  </w:footnote>
  <w:footnote w:type="continuationSeparator" w:id="0">
    <w:p w:rsidR="004D0286" w:rsidRDefault="004D0286" w:rsidP="00C71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AE" w:rsidRPr="00736866" w:rsidRDefault="00C715AE" w:rsidP="00C715AE">
    <w:pPr>
      <w:pStyle w:val="Cabealho"/>
      <w:ind w:left="-142"/>
      <w:jc w:val="center"/>
      <w:rPr>
        <w:rFonts w:ascii="Times New Roman" w:hAnsi="Times New Roman" w:cs="Times New Roman"/>
        <w:sz w:val="24"/>
        <w:szCs w:val="24"/>
      </w:rPr>
    </w:pPr>
    <w:r w:rsidRPr="00736866">
      <w:rPr>
        <w:rFonts w:ascii="Times New Roman" w:hAnsi="Times New Roman" w:cs="Times New Roman"/>
        <w:noProof/>
        <w:sz w:val="24"/>
        <w:szCs w:val="24"/>
      </w:rPr>
      <w:drawing>
        <wp:inline distT="0" distB="0" distL="0" distR="0" wp14:anchorId="32529E14" wp14:editId="268735BE">
          <wp:extent cx="3400425" cy="762000"/>
          <wp:effectExtent l="0" t="0" r="9525" b="0"/>
          <wp:docPr id="2" name="Imagem 2" descr="Logo sepl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pla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762000"/>
                  </a:xfrm>
                  <a:prstGeom prst="rect">
                    <a:avLst/>
                  </a:prstGeom>
                  <a:noFill/>
                  <a:ln>
                    <a:noFill/>
                  </a:ln>
                </pic:spPr>
              </pic:pic>
            </a:graphicData>
          </a:graphic>
        </wp:inline>
      </w:drawing>
    </w:r>
  </w:p>
  <w:p w:rsidR="00C715AE" w:rsidRPr="00736866" w:rsidRDefault="00C715AE" w:rsidP="00C715AE">
    <w:pPr>
      <w:pStyle w:val="Cabealho"/>
      <w:jc w:val="center"/>
      <w:rPr>
        <w:rFonts w:ascii="Times New Roman" w:hAnsi="Times New Roman" w:cs="Times New Roman"/>
        <w:sz w:val="24"/>
        <w:szCs w:val="24"/>
      </w:rPr>
    </w:pPr>
  </w:p>
  <w:p w:rsidR="00C715AE" w:rsidRPr="00736866" w:rsidRDefault="00C715AE" w:rsidP="00C715AE">
    <w:pPr>
      <w:pStyle w:val="Cabealho"/>
      <w:jc w:val="center"/>
      <w:rPr>
        <w:rFonts w:ascii="Times New Roman" w:hAnsi="Times New Roman" w:cs="Times New Roman"/>
        <w:sz w:val="24"/>
        <w:szCs w:val="24"/>
      </w:rPr>
    </w:pPr>
  </w:p>
  <w:p w:rsidR="00C715AE" w:rsidRPr="00736866" w:rsidRDefault="00C715AE" w:rsidP="00C715AE">
    <w:pPr>
      <w:pStyle w:val="Cabealho"/>
      <w:jc w:val="center"/>
      <w:rPr>
        <w:rFonts w:ascii="Times New Roman" w:hAnsi="Times New Roman" w:cs="Times New Roman"/>
        <w:sz w:val="24"/>
        <w:szCs w:val="24"/>
      </w:rPr>
    </w:pPr>
  </w:p>
  <w:tbl>
    <w:tblPr>
      <w:tblW w:w="8647"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5"/>
      <w:gridCol w:w="1984"/>
      <w:gridCol w:w="1134"/>
    </w:tblGrid>
    <w:tr w:rsidR="00C715AE" w:rsidRPr="00BF13AE" w:rsidTr="005E74CA">
      <w:tc>
        <w:tcPr>
          <w:tcW w:w="3544" w:type="dxa"/>
        </w:tcPr>
        <w:p w:rsidR="00C715AE" w:rsidRPr="00BF13AE" w:rsidRDefault="00C715AE" w:rsidP="00C715AE">
          <w:pPr>
            <w:jc w:val="both"/>
            <w:rPr>
              <w:rFonts w:cs="Times New Roman"/>
              <w:sz w:val="20"/>
              <w:szCs w:val="20"/>
            </w:rPr>
          </w:pPr>
          <w:r w:rsidRPr="00BF13AE">
            <w:rPr>
              <w:rFonts w:cs="Times New Roman"/>
              <w:b/>
              <w:sz w:val="20"/>
              <w:szCs w:val="20"/>
            </w:rPr>
            <w:t xml:space="preserve">Processo nº </w:t>
          </w:r>
        </w:p>
        <w:p w:rsidR="00C715AE" w:rsidRPr="00BF13AE" w:rsidRDefault="00BF13AE" w:rsidP="00C715AE">
          <w:pPr>
            <w:jc w:val="both"/>
            <w:rPr>
              <w:rFonts w:cs="Times New Roman"/>
              <w:sz w:val="20"/>
              <w:szCs w:val="20"/>
            </w:rPr>
          </w:pPr>
          <w:r w:rsidRPr="00BF13AE">
            <w:rPr>
              <w:rFonts w:cs="Times New Roman"/>
              <w:sz w:val="20"/>
              <w:szCs w:val="20"/>
            </w:rPr>
            <w:t>020006534</w:t>
          </w:r>
          <w:r w:rsidR="00C715AE" w:rsidRPr="00BF13AE">
            <w:rPr>
              <w:rFonts w:cs="Times New Roman"/>
              <w:sz w:val="20"/>
              <w:szCs w:val="20"/>
            </w:rPr>
            <w:t>/2018</w:t>
          </w:r>
        </w:p>
      </w:tc>
      <w:tc>
        <w:tcPr>
          <w:tcW w:w="1985" w:type="dxa"/>
        </w:tcPr>
        <w:p w:rsidR="00C715AE" w:rsidRPr="00BF13AE" w:rsidRDefault="00C715AE" w:rsidP="00C715AE">
          <w:pPr>
            <w:jc w:val="both"/>
            <w:rPr>
              <w:rFonts w:cs="Times New Roman"/>
              <w:sz w:val="20"/>
              <w:szCs w:val="20"/>
            </w:rPr>
          </w:pPr>
          <w:r w:rsidRPr="00BF13AE">
            <w:rPr>
              <w:rFonts w:cs="Times New Roman"/>
              <w:b/>
              <w:sz w:val="20"/>
              <w:szCs w:val="20"/>
            </w:rPr>
            <w:t xml:space="preserve">Data: </w:t>
          </w:r>
        </w:p>
        <w:p w:rsidR="00C715AE" w:rsidRPr="00BF13AE" w:rsidRDefault="00BF13AE" w:rsidP="00C715AE">
          <w:pPr>
            <w:jc w:val="both"/>
            <w:rPr>
              <w:rFonts w:cs="Times New Roman"/>
              <w:sz w:val="20"/>
              <w:szCs w:val="20"/>
            </w:rPr>
          </w:pPr>
          <w:r w:rsidRPr="00BF13AE">
            <w:rPr>
              <w:rFonts w:cs="Times New Roman"/>
              <w:sz w:val="20"/>
              <w:szCs w:val="20"/>
            </w:rPr>
            <w:t>28</w:t>
          </w:r>
          <w:r w:rsidR="00C715AE" w:rsidRPr="00BF13AE">
            <w:rPr>
              <w:rFonts w:cs="Times New Roman"/>
              <w:sz w:val="20"/>
              <w:szCs w:val="20"/>
            </w:rPr>
            <w:t>/1</w:t>
          </w:r>
          <w:r w:rsidRPr="00BF13AE">
            <w:rPr>
              <w:rFonts w:cs="Times New Roman"/>
              <w:sz w:val="20"/>
              <w:szCs w:val="20"/>
            </w:rPr>
            <w:t>2</w:t>
          </w:r>
          <w:r w:rsidR="00C715AE" w:rsidRPr="00BF13AE">
            <w:rPr>
              <w:rFonts w:cs="Times New Roman"/>
              <w:sz w:val="20"/>
              <w:szCs w:val="20"/>
            </w:rPr>
            <w:t>/2018</w:t>
          </w:r>
        </w:p>
      </w:tc>
      <w:tc>
        <w:tcPr>
          <w:tcW w:w="1984" w:type="dxa"/>
        </w:tcPr>
        <w:p w:rsidR="00C715AE" w:rsidRPr="00BF13AE" w:rsidRDefault="00C715AE" w:rsidP="00C715AE">
          <w:pPr>
            <w:jc w:val="both"/>
            <w:rPr>
              <w:rFonts w:cs="Times New Roman"/>
              <w:sz w:val="20"/>
              <w:szCs w:val="20"/>
            </w:rPr>
          </w:pPr>
          <w:r w:rsidRPr="00BF13AE">
            <w:rPr>
              <w:rFonts w:cs="Times New Roman"/>
              <w:b/>
              <w:sz w:val="20"/>
              <w:szCs w:val="20"/>
            </w:rPr>
            <w:t>Rubrica:</w:t>
          </w:r>
        </w:p>
        <w:p w:rsidR="00C715AE" w:rsidRPr="00BF13AE" w:rsidRDefault="00C715AE" w:rsidP="00C715AE">
          <w:pPr>
            <w:jc w:val="both"/>
            <w:rPr>
              <w:rFonts w:cs="Times New Roman"/>
              <w:b/>
              <w:sz w:val="20"/>
              <w:szCs w:val="20"/>
            </w:rPr>
          </w:pPr>
        </w:p>
      </w:tc>
      <w:tc>
        <w:tcPr>
          <w:tcW w:w="1134" w:type="dxa"/>
        </w:tcPr>
        <w:p w:rsidR="00C715AE" w:rsidRPr="00BF13AE" w:rsidRDefault="00C715AE" w:rsidP="00C715AE">
          <w:pPr>
            <w:jc w:val="both"/>
            <w:rPr>
              <w:rFonts w:cs="Times New Roman"/>
              <w:sz w:val="20"/>
              <w:szCs w:val="20"/>
            </w:rPr>
          </w:pPr>
          <w:proofErr w:type="spellStart"/>
          <w:r w:rsidRPr="00BF13AE">
            <w:rPr>
              <w:rFonts w:cs="Times New Roman"/>
              <w:b/>
              <w:sz w:val="20"/>
              <w:szCs w:val="20"/>
            </w:rPr>
            <w:t>Fls</w:t>
          </w:r>
          <w:proofErr w:type="spellEnd"/>
          <w:r w:rsidRPr="00BF13AE">
            <w:rPr>
              <w:rFonts w:cs="Times New Roman"/>
              <w:b/>
              <w:sz w:val="20"/>
              <w:szCs w:val="20"/>
            </w:rPr>
            <w:t>:</w:t>
          </w:r>
        </w:p>
        <w:p w:rsidR="00C715AE" w:rsidRPr="00BF13AE" w:rsidRDefault="00C715AE" w:rsidP="00C715AE">
          <w:pPr>
            <w:jc w:val="both"/>
            <w:rPr>
              <w:rFonts w:cs="Times New Roman"/>
              <w:sz w:val="20"/>
              <w:szCs w:val="20"/>
            </w:rPr>
          </w:pPr>
        </w:p>
      </w:tc>
    </w:tr>
  </w:tbl>
  <w:p w:rsidR="00C715AE" w:rsidRDefault="00C715A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AE"/>
    <w:rsid w:val="004D0286"/>
    <w:rsid w:val="006E2780"/>
    <w:rsid w:val="00722B92"/>
    <w:rsid w:val="00933B87"/>
    <w:rsid w:val="0096779E"/>
    <w:rsid w:val="00B454A2"/>
    <w:rsid w:val="00BF13AE"/>
    <w:rsid w:val="00C715AE"/>
    <w:rsid w:val="00EC3609"/>
    <w:rsid w:val="00EE14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1093"/>
  <w15:chartTrackingRefBased/>
  <w15:docId w15:val="{3C945884-BF5F-4B5A-A6CB-B3DB0334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5A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715AE"/>
    <w:pPr>
      <w:tabs>
        <w:tab w:val="center" w:pos="4252"/>
        <w:tab w:val="right" w:pos="8504"/>
      </w:tabs>
      <w:spacing w:after="0" w:line="240" w:lineRule="auto"/>
    </w:pPr>
  </w:style>
  <w:style w:type="character" w:customStyle="1" w:styleId="CabealhoChar">
    <w:name w:val="Cabeçalho Char"/>
    <w:basedOn w:val="Fontepargpadro"/>
    <w:link w:val="Cabealho"/>
    <w:rsid w:val="00C715AE"/>
  </w:style>
  <w:style w:type="paragraph" w:styleId="Rodap">
    <w:name w:val="footer"/>
    <w:basedOn w:val="Normal"/>
    <w:link w:val="RodapChar"/>
    <w:uiPriority w:val="99"/>
    <w:unhideWhenUsed/>
    <w:rsid w:val="00C715AE"/>
    <w:pPr>
      <w:tabs>
        <w:tab w:val="center" w:pos="4252"/>
        <w:tab w:val="right" w:pos="8504"/>
      </w:tabs>
      <w:spacing w:after="0" w:line="240" w:lineRule="auto"/>
    </w:pPr>
  </w:style>
  <w:style w:type="character" w:customStyle="1" w:styleId="RodapChar">
    <w:name w:val="Rodapé Char"/>
    <w:basedOn w:val="Fontepargpadro"/>
    <w:link w:val="Rodap"/>
    <w:uiPriority w:val="99"/>
    <w:rsid w:val="00C715AE"/>
  </w:style>
  <w:style w:type="paragraph" w:styleId="Recuodecorpodetexto">
    <w:name w:val="Body Text Indent"/>
    <w:basedOn w:val="Normal"/>
    <w:link w:val="RecuodecorpodetextoChar"/>
    <w:rsid w:val="00C715AE"/>
    <w:pPr>
      <w:suppressAutoHyphens/>
      <w:spacing w:after="0" w:line="360" w:lineRule="auto"/>
      <w:ind w:left="567"/>
      <w:jc w:val="both"/>
    </w:pPr>
    <w:rPr>
      <w:rFonts w:ascii="Times New Roman" w:eastAsia="Times New Roman" w:hAnsi="Times New Roman" w:cs="Times New Roman"/>
      <w:sz w:val="26"/>
      <w:szCs w:val="20"/>
      <w:lang w:eastAsia="ar-SA"/>
    </w:rPr>
  </w:style>
  <w:style w:type="character" w:customStyle="1" w:styleId="RecuodecorpodetextoChar">
    <w:name w:val="Recuo de corpo de texto Char"/>
    <w:basedOn w:val="Fontepargpadro"/>
    <w:link w:val="Recuodecorpodetexto"/>
    <w:rsid w:val="00C715AE"/>
    <w:rPr>
      <w:rFonts w:ascii="Times New Roman" w:eastAsia="Times New Roman" w:hAnsi="Times New Roman" w:cs="Times New Roman"/>
      <w:sz w:val="26"/>
      <w:szCs w:val="20"/>
      <w:lang w:eastAsia="ar-SA"/>
    </w:rPr>
  </w:style>
  <w:style w:type="paragraph" w:styleId="PargrafodaLista">
    <w:name w:val="List Paragraph"/>
    <w:basedOn w:val="Normal"/>
    <w:uiPriority w:val="34"/>
    <w:qFormat/>
    <w:rsid w:val="00722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1085</Words>
  <Characters>5861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Gizella Brum Baptista Maia</dc:creator>
  <cp:keywords/>
  <dc:description/>
  <cp:lastModifiedBy>Concyr Formiga Bernardes</cp:lastModifiedBy>
  <cp:revision>3</cp:revision>
  <dcterms:created xsi:type="dcterms:W3CDTF">2019-01-17T10:31:00Z</dcterms:created>
  <dcterms:modified xsi:type="dcterms:W3CDTF">2019-01-17T10:41:00Z</dcterms:modified>
</cp:coreProperties>
</file>